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rPr>
          <w:rFonts w:eastAsia="宋体" w:cs="Times New Roman"/>
        </w:rPr>
      </w:pPr>
    </w:p>
    <w:p>
      <w:pPr>
        <w:ind w:firstLine="480"/>
        <w:rPr>
          <w:rFonts w:eastAsia="宋体" w:cs="Times New Roman"/>
        </w:rPr>
      </w:pPr>
    </w:p>
    <w:p>
      <w:pPr>
        <w:ind w:firstLine="480"/>
        <w:rPr>
          <w:rFonts w:eastAsia="宋体" w:cs="Times New Roman"/>
        </w:rPr>
      </w:pPr>
    </w:p>
    <w:p>
      <w:pPr>
        <w:ind w:firstLine="480"/>
        <w:rPr>
          <w:rFonts w:eastAsia="宋体" w:cs="Times New Roman"/>
        </w:rPr>
      </w:pPr>
    </w:p>
    <w:p>
      <w:pPr>
        <w:ind w:firstLine="0" w:firstLineChars="0"/>
        <w:jc w:val="center"/>
        <w:rPr>
          <w:rFonts w:eastAsia="宋体" w:cs="Times New Roman"/>
          <w:b/>
          <w:bCs/>
          <w:sz w:val="52"/>
          <w:szCs w:val="52"/>
        </w:rPr>
      </w:pPr>
      <w:r>
        <w:rPr>
          <w:rFonts w:eastAsia="宋体" w:cs="Times New Roman"/>
          <w:b/>
          <w:bCs/>
          <w:sz w:val="52"/>
          <w:szCs w:val="52"/>
        </w:rPr>
        <w:t>浙江允源毛纺股份有限公司</w:t>
      </w:r>
    </w:p>
    <w:p>
      <w:pPr>
        <w:ind w:firstLine="0" w:firstLineChars="0"/>
        <w:jc w:val="center"/>
        <w:rPr>
          <w:rFonts w:eastAsia="宋体" w:cs="Times New Roman"/>
          <w:b/>
          <w:bCs/>
          <w:sz w:val="48"/>
          <w:szCs w:val="48"/>
        </w:rPr>
      </w:pPr>
      <w:r>
        <w:rPr>
          <w:rFonts w:eastAsia="宋体" w:cs="Times New Roman"/>
          <w:b/>
          <w:bCs/>
          <w:sz w:val="48"/>
          <w:szCs w:val="48"/>
        </w:rPr>
        <w:t>年产2000吨毛条新建项目</w:t>
      </w:r>
    </w:p>
    <w:p>
      <w:pPr>
        <w:pStyle w:val="2"/>
        <w:ind w:left="480" w:firstLine="480"/>
        <w:rPr>
          <w:rFonts w:eastAsia="宋体" w:cs="Times New Roman"/>
        </w:rPr>
      </w:pPr>
    </w:p>
    <w:p>
      <w:pPr>
        <w:spacing w:before="312" w:beforeLines="100"/>
        <w:ind w:firstLine="0" w:firstLineChars="0"/>
        <w:jc w:val="center"/>
        <w:rPr>
          <w:rFonts w:eastAsia="宋体" w:cs="Times New Roman"/>
          <w:b/>
          <w:bCs/>
          <w:sz w:val="52"/>
          <w:szCs w:val="52"/>
        </w:rPr>
      </w:pPr>
      <w:r>
        <w:rPr>
          <w:rFonts w:eastAsia="宋体" w:cs="Times New Roman"/>
          <w:b/>
          <w:bCs/>
          <w:sz w:val="52"/>
          <w:szCs w:val="52"/>
        </w:rPr>
        <w:t>竣工环境保护验收报告</w:t>
      </w: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pStyle w:val="2"/>
        <w:ind w:left="480" w:firstLine="480"/>
        <w:rPr>
          <w:rFonts w:eastAsia="宋体" w:cs="Times New Roman"/>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28"/>
          <w:szCs w:val="28"/>
        </w:rPr>
      </w:pPr>
    </w:p>
    <w:p>
      <w:pPr>
        <w:ind w:firstLine="0" w:firstLineChars="0"/>
        <w:jc w:val="center"/>
        <w:rPr>
          <w:rFonts w:eastAsia="宋体" w:cs="Times New Roman"/>
          <w:b/>
          <w:bCs/>
          <w:sz w:val="36"/>
          <w:szCs w:val="36"/>
        </w:rPr>
      </w:pPr>
      <w:r>
        <w:rPr>
          <w:rFonts w:eastAsia="宋体" w:cs="Times New Roman"/>
          <w:b/>
          <w:bCs/>
          <w:sz w:val="36"/>
          <w:szCs w:val="36"/>
        </w:rPr>
        <w:t>建设单位：浙江允源毛纺股份有限公司</w:t>
      </w:r>
    </w:p>
    <w:p>
      <w:pPr>
        <w:ind w:firstLine="0" w:firstLineChars="0"/>
        <w:jc w:val="center"/>
        <w:rPr>
          <w:rFonts w:eastAsia="宋体" w:cs="Times New Roman"/>
          <w:b/>
          <w:bCs/>
          <w:sz w:val="36"/>
          <w:szCs w:val="36"/>
        </w:rPr>
      </w:pPr>
      <w:r>
        <w:rPr>
          <w:rFonts w:eastAsia="宋体" w:cs="Times New Roman"/>
          <w:b/>
          <w:bCs/>
          <w:sz w:val="36"/>
          <w:szCs w:val="36"/>
        </w:rPr>
        <w:t>编制单位：浙江允源毛纺股份有限公司</w:t>
      </w:r>
    </w:p>
    <w:p>
      <w:pPr>
        <w:ind w:firstLine="0" w:firstLineChars="0"/>
        <w:jc w:val="center"/>
        <w:rPr>
          <w:rFonts w:eastAsia="宋体" w:cs="Times New Roman"/>
          <w:b/>
          <w:bCs/>
          <w:sz w:val="36"/>
          <w:szCs w:val="36"/>
        </w:rPr>
      </w:pPr>
      <w:r>
        <w:rPr>
          <w:rFonts w:eastAsia="宋体" w:cs="Times New Roman"/>
          <w:b/>
          <w:bCs/>
          <w:sz w:val="36"/>
          <w:szCs w:val="36"/>
        </w:rPr>
        <w:t>二〇二一年十一月</w:t>
      </w:r>
    </w:p>
    <w:p>
      <w:pPr>
        <w:ind w:firstLine="643"/>
        <w:jc w:val="center"/>
        <w:rPr>
          <w:rFonts w:eastAsia="宋体" w:cs="Times New Roman"/>
          <w:b/>
          <w:bCs/>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18" w:right="1247" w:bottom="1418" w:left="1247" w:header="851" w:footer="992" w:gutter="0"/>
          <w:pgNumType w:fmt="numberInDash" w:start="1"/>
          <w:cols w:space="425" w:num="1"/>
          <w:titlePg/>
          <w:docGrid w:type="lines" w:linePitch="312" w:charSpace="0"/>
        </w:sectPr>
      </w:pPr>
    </w:p>
    <w:p>
      <w:pPr>
        <w:ind w:firstLine="0" w:firstLineChars="0"/>
        <w:rPr>
          <w:rFonts w:eastAsia="宋体" w:cs="Times New Roman"/>
          <w:b/>
          <w:bCs/>
          <w:color w:val="000000" w:themeColor="text1"/>
          <w:sz w:val="48"/>
          <w:szCs w:val="48"/>
          <w14:textFill>
            <w14:solidFill>
              <w14:schemeClr w14:val="tx1"/>
            </w14:solidFill>
          </w14:textFill>
        </w:rPr>
      </w:pPr>
      <w:r>
        <w:rPr>
          <w:rFonts w:eastAsia="宋体" w:cs="Times New Roman"/>
          <w:b/>
          <w:bCs/>
          <w:color w:val="000000" w:themeColor="text1"/>
          <w:sz w:val="48"/>
          <w:szCs w:val="48"/>
          <w14:textFill>
            <w14:solidFill>
              <w14:schemeClr w14:val="tx1"/>
            </w14:solidFill>
          </w14:textFill>
        </w:rPr>
        <w:t>一、验收报告</w:t>
      </w:r>
    </w:p>
    <w:p>
      <w:pPr>
        <w:pStyle w:val="2"/>
        <w:ind w:left="0" w:leftChars="0" w:firstLine="0" w:firstLineChars="0"/>
        <w:rPr>
          <w:rFonts w:eastAsia="宋体" w:cs="Times New Roman"/>
          <w:b/>
          <w:bCs/>
          <w:sz w:val="48"/>
          <w:szCs w:val="48"/>
        </w:rPr>
      </w:pPr>
    </w:p>
    <w:p>
      <w:pPr>
        <w:pStyle w:val="2"/>
        <w:ind w:left="0" w:leftChars="0" w:firstLine="0" w:firstLineChars="0"/>
        <w:rPr>
          <w:rFonts w:eastAsia="宋体" w:cs="Times New Roman"/>
          <w:b/>
          <w:bCs/>
          <w:sz w:val="48"/>
          <w:szCs w:val="48"/>
        </w:rPr>
      </w:pPr>
      <w:r>
        <w:rPr>
          <w:rFonts w:eastAsia="宋体" w:cs="Times New Roman"/>
          <w:b/>
          <w:bCs/>
          <w:sz w:val="48"/>
          <w:szCs w:val="48"/>
        </w:rPr>
        <w:t>二、验收意见</w:t>
      </w:r>
    </w:p>
    <w:p>
      <w:pPr>
        <w:pStyle w:val="2"/>
        <w:ind w:left="0" w:leftChars="0" w:firstLine="0" w:firstLineChars="0"/>
        <w:rPr>
          <w:rFonts w:eastAsia="宋体" w:cs="Times New Roman"/>
          <w:b/>
          <w:bCs/>
          <w:sz w:val="48"/>
          <w:szCs w:val="48"/>
        </w:rPr>
      </w:pPr>
    </w:p>
    <w:p>
      <w:pPr>
        <w:ind w:firstLine="0" w:firstLineChars="0"/>
        <w:rPr>
          <w:rFonts w:eastAsia="宋体" w:cs="Times New Roman"/>
          <w:b/>
          <w:bCs/>
          <w:sz w:val="32"/>
          <w:szCs w:val="32"/>
        </w:rPr>
      </w:pPr>
      <w:r>
        <w:rPr>
          <w:rFonts w:eastAsia="宋体" w:cs="Times New Roman"/>
          <w:b/>
          <w:bCs/>
          <w:sz w:val="48"/>
          <w:szCs w:val="48"/>
        </w:rPr>
        <w:t>三、其他情况说明</w:t>
      </w:r>
    </w:p>
    <w:p>
      <w:pPr>
        <w:spacing w:line="480" w:lineRule="auto"/>
        <w:ind w:firstLine="480"/>
        <w:rPr>
          <w:rFonts w:eastAsia="宋体" w:cs="Times New Roman"/>
        </w:rPr>
        <w:sectPr>
          <w:pgSz w:w="11906" w:h="16838"/>
          <w:pgMar w:top="1418" w:right="1247" w:bottom="1418" w:left="1247" w:header="851" w:footer="992" w:gutter="0"/>
          <w:pgNumType w:fmt="numberInDash" w:start="1"/>
          <w:cols w:space="425" w:num="1"/>
          <w:titlePg/>
          <w:docGrid w:type="lines" w:linePitch="312" w:charSpace="0"/>
        </w:sectPr>
      </w:pPr>
    </w:p>
    <w:p>
      <w:pPr>
        <w:ind w:firstLine="480"/>
        <w:rPr>
          <w:rFonts w:eastAsia="宋体" w:cs="Times New Roman"/>
        </w:rPr>
      </w:pPr>
    </w:p>
    <w:p>
      <w:pPr>
        <w:ind w:firstLine="480"/>
        <w:rPr>
          <w:rFonts w:eastAsia="宋体" w:cs="Times New Roman"/>
        </w:rPr>
      </w:pPr>
    </w:p>
    <w:p>
      <w:pPr>
        <w:ind w:firstLine="480"/>
        <w:rPr>
          <w:rFonts w:eastAsia="宋体" w:cs="Times New Roman"/>
        </w:rPr>
      </w:pPr>
    </w:p>
    <w:p>
      <w:pPr>
        <w:ind w:firstLine="480"/>
        <w:rPr>
          <w:rFonts w:eastAsia="宋体" w:cs="Times New Roman"/>
        </w:rPr>
      </w:pPr>
    </w:p>
    <w:p>
      <w:pPr>
        <w:ind w:firstLine="0" w:firstLineChars="0"/>
        <w:jc w:val="center"/>
        <w:rPr>
          <w:rFonts w:eastAsia="宋体" w:cs="Times New Roman"/>
          <w:b/>
          <w:bCs/>
          <w:sz w:val="52"/>
          <w:szCs w:val="52"/>
        </w:rPr>
      </w:pPr>
      <w:r>
        <w:rPr>
          <w:rFonts w:eastAsia="宋体" w:cs="Times New Roman"/>
          <w:b/>
          <w:bCs/>
          <w:sz w:val="52"/>
          <w:szCs w:val="52"/>
        </w:rPr>
        <w:t>浙江允源毛纺股份有限公司</w:t>
      </w:r>
    </w:p>
    <w:p>
      <w:pPr>
        <w:ind w:firstLine="0" w:firstLineChars="0"/>
        <w:jc w:val="center"/>
        <w:rPr>
          <w:rFonts w:eastAsia="宋体" w:cs="Times New Roman"/>
          <w:b/>
          <w:bCs/>
          <w:sz w:val="48"/>
          <w:szCs w:val="48"/>
        </w:rPr>
      </w:pPr>
      <w:bookmarkStart w:id="0" w:name="_Hlk68174032"/>
      <w:r>
        <w:rPr>
          <w:rFonts w:eastAsia="宋体" w:cs="Times New Roman"/>
          <w:b/>
          <w:bCs/>
          <w:sz w:val="48"/>
          <w:szCs w:val="48"/>
        </w:rPr>
        <w:t>年产2000吨毛条新建项目</w:t>
      </w:r>
    </w:p>
    <w:p>
      <w:pPr>
        <w:pStyle w:val="2"/>
        <w:ind w:left="480" w:firstLine="480"/>
        <w:rPr>
          <w:rFonts w:eastAsia="宋体" w:cs="Times New Roman"/>
        </w:rPr>
      </w:pPr>
    </w:p>
    <w:bookmarkEnd w:id="0"/>
    <w:p>
      <w:pPr>
        <w:spacing w:before="312" w:beforeLines="100"/>
        <w:ind w:firstLine="0" w:firstLineChars="0"/>
        <w:jc w:val="center"/>
        <w:rPr>
          <w:rFonts w:eastAsia="宋体" w:cs="Times New Roman"/>
          <w:b/>
          <w:bCs/>
          <w:sz w:val="52"/>
          <w:szCs w:val="52"/>
        </w:rPr>
      </w:pPr>
      <w:r>
        <w:rPr>
          <w:rFonts w:eastAsia="宋体" w:cs="Times New Roman"/>
          <w:b/>
          <w:bCs/>
          <w:sz w:val="52"/>
          <w:szCs w:val="52"/>
        </w:rPr>
        <w:t>竣工环境保护验收监测报告</w:t>
      </w: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pStyle w:val="2"/>
        <w:ind w:left="480" w:firstLine="480"/>
        <w:rPr>
          <w:rFonts w:eastAsia="宋体" w:cs="Times New Roman"/>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32"/>
          <w:szCs w:val="32"/>
        </w:rPr>
      </w:pPr>
    </w:p>
    <w:p>
      <w:pPr>
        <w:ind w:firstLine="0" w:firstLineChars="0"/>
        <w:jc w:val="center"/>
        <w:rPr>
          <w:rFonts w:eastAsia="宋体" w:cs="Times New Roman"/>
          <w:b/>
          <w:bCs/>
          <w:sz w:val="28"/>
          <w:szCs w:val="28"/>
        </w:rPr>
      </w:pPr>
    </w:p>
    <w:p>
      <w:pPr>
        <w:ind w:firstLine="0" w:firstLineChars="0"/>
        <w:jc w:val="center"/>
        <w:rPr>
          <w:rFonts w:eastAsia="宋体" w:cs="Times New Roman"/>
          <w:b/>
          <w:bCs/>
          <w:sz w:val="36"/>
          <w:szCs w:val="36"/>
        </w:rPr>
      </w:pPr>
      <w:r>
        <w:rPr>
          <w:rFonts w:eastAsia="宋体" w:cs="Times New Roman"/>
          <w:b/>
          <w:bCs/>
          <w:sz w:val="36"/>
          <w:szCs w:val="36"/>
        </w:rPr>
        <w:t>建设单位：浙江允源毛纺股份有限公司</w:t>
      </w:r>
    </w:p>
    <w:p>
      <w:pPr>
        <w:ind w:firstLine="0" w:firstLineChars="0"/>
        <w:jc w:val="center"/>
        <w:rPr>
          <w:rFonts w:eastAsia="宋体" w:cs="Times New Roman"/>
          <w:b/>
          <w:bCs/>
          <w:sz w:val="36"/>
          <w:szCs w:val="36"/>
        </w:rPr>
      </w:pPr>
      <w:r>
        <w:rPr>
          <w:rFonts w:eastAsia="宋体" w:cs="Times New Roman"/>
          <w:b/>
          <w:bCs/>
          <w:sz w:val="36"/>
          <w:szCs w:val="36"/>
        </w:rPr>
        <w:t>编制单位：浙江允源毛纺股份有限公司</w:t>
      </w:r>
    </w:p>
    <w:p>
      <w:pPr>
        <w:ind w:firstLine="0" w:firstLineChars="0"/>
        <w:jc w:val="center"/>
        <w:rPr>
          <w:rFonts w:eastAsia="宋体" w:cs="Times New Roman"/>
          <w:b/>
          <w:bCs/>
          <w:sz w:val="36"/>
          <w:szCs w:val="36"/>
        </w:rPr>
      </w:pPr>
      <w:r>
        <w:rPr>
          <w:rFonts w:eastAsia="宋体" w:cs="Times New Roman"/>
          <w:b/>
          <w:bCs/>
          <w:sz w:val="36"/>
          <w:szCs w:val="36"/>
        </w:rPr>
        <w:t>二〇二一年十一月</w:t>
      </w:r>
    </w:p>
    <w:p>
      <w:pPr>
        <w:ind w:firstLine="643"/>
        <w:jc w:val="center"/>
        <w:rPr>
          <w:rFonts w:eastAsia="宋体" w:cs="Times New Roman"/>
          <w:b/>
          <w:bCs/>
          <w:sz w:val="32"/>
          <w:szCs w:val="32"/>
        </w:rPr>
      </w:pPr>
    </w:p>
    <w:p>
      <w:pPr>
        <w:spacing w:line="480" w:lineRule="auto"/>
        <w:ind w:firstLine="480"/>
        <w:rPr>
          <w:rFonts w:eastAsia="宋体" w:cs="Times New Roman"/>
        </w:rPr>
        <w:sectPr>
          <w:headerReference r:id="rId13" w:type="first"/>
          <w:footerReference r:id="rId16" w:type="first"/>
          <w:headerReference r:id="rId11" w:type="default"/>
          <w:footerReference r:id="rId14" w:type="default"/>
          <w:headerReference r:id="rId12" w:type="even"/>
          <w:footerReference r:id="rId15" w:type="even"/>
          <w:pgSz w:w="11906" w:h="16838"/>
          <w:pgMar w:top="1418" w:right="1247" w:bottom="1418" w:left="1247" w:header="851" w:footer="992" w:gutter="0"/>
          <w:pgNumType w:fmt="numberInDash" w:start="1"/>
          <w:cols w:space="425" w:num="1"/>
          <w:titlePg/>
          <w:docGrid w:type="lines" w:linePitch="312" w:charSpace="0"/>
        </w:sectPr>
      </w:pPr>
    </w:p>
    <w:p>
      <w:pPr>
        <w:ind w:firstLine="480"/>
        <w:rPr>
          <w:rFonts w:eastAsia="宋体" w:cs="Times New Roman"/>
        </w:rPr>
      </w:pPr>
      <w:r>
        <w:rPr>
          <w:rFonts w:eastAsia="宋体" w:cs="Times New Roman"/>
        </w:rPr>
        <w:t>建设单位：</w:t>
      </w:r>
      <w:r>
        <w:rPr>
          <w:rFonts w:eastAsia="宋体" w:cs="Times New Roman"/>
        </w:rPr>
        <w:fldChar w:fldCharType="begin"/>
      </w:r>
      <w:r>
        <w:rPr>
          <w:rFonts w:eastAsia="宋体" w:cs="Times New Roman"/>
        </w:rPr>
        <w:instrText xml:space="preserve"> DOCPROPERTY  项目名称  \* MERGEFORMAT </w:instrText>
      </w:r>
      <w:r>
        <w:rPr>
          <w:rFonts w:eastAsia="宋体" w:cs="Times New Roman"/>
        </w:rPr>
        <w:fldChar w:fldCharType="separate"/>
      </w:r>
      <w:r>
        <w:rPr>
          <w:rFonts w:eastAsia="宋体" w:cs="Times New Roman"/>
        </w:rPr>
        <w:t>浙江允源毛纺股份有限公司</w:t>
      </w:r>
      <w:r>
        <w:rPr>
          <w:rFonts w:eastAsia="宋体" w:cs="Times New Roman"/>
        </w:rPr>
        <w:fldChar w:fldCharType="end"/>
      </w:r>
    </w:p>
    <w:p>
      <w:pPr>
        <w:ind w:firstLine="480"/>
        <w:rPr>
          <w:rFonts w:eastAsia="宋体" w:cs="Times New Roman"/>
          <w:bCs/>
        </w:rPr>
      </w:pPr>
      <w:r>
        <w:rPr>
          <w:rFonts w:eastAsia="宋体" w:cs="Times New Roman"/>
        </w:rPr>
        <w:t>法人代表：张</w:t>
      </w:r>
      <w:r>
        <w:rPr>
          <w:rFonts w:hint="eastAsia" w:eastAsia="宋体" w:cs="Times New Roman"/>
        </w:rPr>
        <w:t>鹏宇</w:t>
      </w:r>
    </w:p>
    <w:p>
      <w:pPr>
        <w:ind w:firstLine="640"/>
        <w:jc w:val="center"/>
        <w:rPr>
          <w:rFonts w:eastAsia="宋体" w:cs="Times New Roman"/>
          <w:sz w:val="32"/>
          <w:szCs w:val="32"/>
        </w:rPr>
      </w:pPr>
    </w:p>
    <w:p>
      <w:pPr>
        <w:ind w:firstLine="480"/>
        <w:rPr>
          <w:rFonts w:eastAsia="宋体" w:cs="Times New Roman"/>
        </w:rPr>
      </w:pPr>
      <w:r>
        <w:rPr>
          <w:rFonts w:eastAsia="宋体" w:cs="Times New Roman"/>
        </w:rPr>
        <w:t>编制单位：</w:t>
      </w:r>
      <w:r>
        <w:rPr>
          <w:rFonts w:eastAsia="宋体" w:cs="Times New Roman"/>
        </w:rPr>
        <w:fldChar w:fldCharType="begin"/>
      </w:r>
      <w:r>
        <w:rPr>
          <w:rFonts w:eastAsia="宋体" w:cs="Times New Roman"/>
        </w:rPr>
        <w:instrText xml:space="preserve"> DOCPROPERTY  项目名称  \* MERGEFORMAT </w:instrText>
      </w:r>
      <w:r>
        <w:rPr>
          <w:rFonts w:eastAsia="宋体" w:cs="Times New Roman"/>
        </w:rPr>
        <w:fldChar w:fldCharType="separate"/>
      </w:r>
      <w:r>
        <w:rPr>
          <w:rFonts w:eastAsia="宋体" w:cs="Times New Roman"/>
        </w:rPr>
        <w:t>浙江允源毛纺股份有限公司</w:t>
      </w:r>
      <w:r>
        <w:rPr>
          <w:rFonts w:eastAsia="宋体" w:cs="Times New Roman"/>
        </w:rPr>
        <w:fldChar w:fldCharType="end"/>
      </w:r>
    </w:p>
    <w:p>
      <w:pPr>
        <w:ind w:firstLine="480"/>
        <w:rPr>
          <w:rFonts w:eastAsia="宋体" w:cs="Times New Roman"/>
          <w:bCs/>
        </w:rPr>
      </w:pPr>
      <w:r>
        <w:rPr>
          <w:rFonts w:eastAsia="宋体" w:cs="Times New Roman"/>
        </w:rPr>
        <w:t>法人代表：张</w:t>
      </w:r>
      <w:r>
        <w:rPr>
          <w:rFonts w:hint="eastAsia" w:eastAsia="宋体" w:cs="Times New Roman"/>
        </w:rPr>
        <w:t>鹏宇</w:t>
      </w:r>
    </w:p>
    <w:p>
      <w:pPr>
        <w:ind w:firstLine="480"/>
        <w:rPr>
          <w:rFonts w:eastAsia="宋体" w:cs="Times New Roman"/>
          <w:sz w:val="32"/>
          <w:szCs w:val="32"/>
        </w:rPr>
      </w:pPr>
      <w:r>
        <w:rPr>
          <w:rFonts w:eastAsia="宋体" w:cs="Times New Roman"/>
        </w:rPr>
        <w:t>项目负责人：张庆允</w:t>
      </w:r>
    </w:p>
    <w:p>
      <w:pPr>
        <w:ind w:firstLine="640"/>
        <w:jc w:val="center"/>
        <w:rPr>
          <w:rFonts w:eastAsia="宋体" w:cs="Times New Roman"/>
          <w:sz w:val="32"/>
          <w:szCs w:val="32"/>
        </w:rPr>
      </w:pPr>
    </w:p>
    <w:p>
      <w:pPr>
        <w:spacing w:line="480" w:lineRule="auto"/>
        <w:ind w:firstLine="480"/>
        <w:rPr>
          <w:rFonts w:eastAsia="宋体" w:cs="Times New Roman"/>
        </w:rPr>
      </w:pPr>
    </w:p>
    <w:p>
      <w:pPr>
        <w:spacing w:line="480" w:lineRule="auto"/>
        <w:ind w:firstLine="480"/>
        <w:rPr>
          <w:rFonts w:eastAsia="宋体" w:cs="Times New Roman"/>
        </w:rPr>
      </w:pPr>
    </w:p>
    <w:p>
      <w:pPr>
        <w:spacing w:line="480" w:lineRule="auto"/>
        <w:ind w:firstLine="480"/>
        <w:rPr>
          <w:rFonts w:eastAsia="宋体" w:cs="Times New Roman"/>
        </w:rPr>
      </w:pPr>
    </w:p>
    <w:p>
      <w:pPr>
        <w:spacing w:line="480" w:lineRule="auto"/>
        <w:ind w:firstLine="480"/>
        <w:rPr>
          <w:rFonts w:eastAsia="宋体" w:cs="Times New Roman"/>
        </w:rPr>
      </w:pPr>
    </w:p>
    <w:p>
      <w:pPr>
        <w:spacing w:line="480" w:lineRule="auto"/>
        <w:ind w:firstLine="480"/>
        <w:rPr>
          <w:rFonts w:eastAsia="宋体" w:cs="Times New Roman"/>
        </w:rPr>
      </w:pPr>
    </w:p>
    <w:p>
      <w:pPr>
        <w:pStyle w:val="2"/>
        <w:ind w:left="480" w:firstLine="480"/>
        <w:rPr>
          <w:rFonts w:eastAsia="宋体" w:cs="Times New Roman"/>
        </w:rPr>
      </w:pPr>
    </w:p>
    <w:p>
      <w:pPr>
        <w:pStyle w:val="2"/>
        <w:ind w:left="480" w:firstLine="480"/>
        <w:rPr>
          <w:rFonts w:eastAsia="宋体" w:cs="Times New Roman"/>
        </w:rPr>
      </w:pPr>
    </w:p>
    <w:p>
      <w:pPr>
        <w:pStyle w:val="2"/>
        <w:ind w:left="480" w:firstLine="480"/>
        <w:rPr>
          <w:rFonts w:eastAsia="宋体" w:cs="Times New Roman"/>
        </w:rPr>
      </w:pPr>
    </w:p>
    <w:p>
      <w:pPr>
        <w:pStyle w:val="2"/>
        <w:ind w:left="480" w:firstLine="480"/>
        <w:rPr>
          <w:rFonts w:eastAsia="宋体" w:cs="Times New Roman"/>
        </w:rPr>
      </w:pPr>
    </w:p>
    <w:p>
      <w:pPr>
        <w:spacing w:line="480" w:lineRule="auto"/>
        <w:ind w:firstLine="480"/>
        <w:rPr>
          <w:rFonts w:eastAsia="宋体" w:cs="Times New Roman"/>
        </w:rPr>
      </w:pPr>
    </w:p>
    <w:p>
      <w:pPr>
        <w:spacing w:line="480" w:lineRule="auto"/>
        <w:ind w:firstLine="480"/>
        <w:rPr>
          <w:rFonts w:eastAsia="宋体" w:cs="Times New Roman"/>
        </w:rPr>
      </w:pPr>
    </w:p>
    <w:p>
      <w:pPr>
        <w:spacing w:line="480" w:lineRule="auto"/>
        <w:ind w:firstLine="480"/>
        <w:rPr>
          <w:rFonts w:eastAsia="宋体" w:cs="Times New Roman"/>
        </w:rPr>
      </w:pPr>
      <w:r>
        <w:rPr>
          <w:rFonts w:eastAsia="宋体" w:cs="Times New Roman"/>
        </w:rPr>
        <w:t>建设（编制）单位：</w:t>
      </w:r>
      <w:r>
        <w:rPr>
          <w:rFonts w:eastAsia="宋体" w:cs="Times New Roman"/>
        </w:rPr>
        <w:fldChar w:fldCharType="begin"/>
      </w:r>
      <w:r>
        <w:rPr>
          <w:rFonts w:eastAsia="宋体" w:cs="Times New Roman"/>
        </w:rPr>
        <w:instrText xml:space="preserve"> DOCPROPERTY  项目名称  \* MERGEFORMAT </w:instrText>
      </w:r>
      <w:r>
        <w:rPr>
          <w:rFonts w:eastAsia="宋体" w:cs="Times New Roman"/>
        </w:rPr>
        <w:fldChar w:fldCharType="separate"/>
      </w:r>
      <w:r>
        <w:rPr>
          <w:rFonts w:eastAsia="宋体" w:cs="Times New Roman"/>
        </w:rPr>
        <w:t>浙江允源毛纺股份有限公司</w:t>
      </w:r>
      <w:r>
        <w:rPr>
          <w:rFonts w:eastAsia="宋体" w:cs="Times New Roman"/>
        </w:rPr>
        <w:fldChar w:fldCharType="end"/>
      </w:r>
    </w:p>
    <w:p>
      <w:pPr>
        <w:spacing w:line="480" w:lineRule="auto"/>
        <w:ind w:firstLine="480"/>
        <w:rPr>
          <w:rFonts w:eastAsia="宋体" w:cs="Times New Roman"/>
        </w:rPr>
      </w:pPr>
      <w:r>
        <w:rPr>
          <w:rFonts w:eastAsia="宋体" w:cs="Times New Roman"/>
          <w:bCs/>
        </w:rPr>
        <w:t>联系人：张庆允</w:t>
      </w:r>
    </w:p>
    <w:p>
      <w:pPr>
        <w:spacing w:line="480" w:lineRule="auto"/>
        <w:ind w:firstLine="480"/>
        <w:rPr>
          <w:rFonts w:eastAsia="宋体" w:cs="Times New Roman"/>
        </w:rPr>
      </w:pPr>
      <w:r>
        <w:rPr>
          <w:rFonts w:eastAsia="宋体" w:cs="Times New Roman"/>
        </w:rPr>
        <w:t>电话：</w:t>
      </w:r>
      <w:r>
        <w:rPr>
          <w:rFonts w:hint="eastAsia" w:eastAsia="宋体" w:cs="Times New Roman"/>
        </w:rPr>
        <w:t>15167373008</w:t>
      </w:r>
    </w:p>
    <w:p>
      <w:pPr>
        <w:spacing w:line="480" w:lineRule="auto"/>
        <w:ind w:firstLine="480"/>
        <w:rPr>
          <w:rFonts w:eastAsia="宋体" w:cs="Times New Roman"/>
        </w:rPr>
      </w:pPr>
      <w:r>
        <w:rPr>
          <w:rFonts w:eastAsia="宋体" w:cs="Times New Roman"/>
          <w:bCs/>
        </w:rPr>
        <w:t>邮编：314500</w:t>
      </w:r>
    </w:p>
    <w:p>
      <w:pPr>
        <w:spacing w:line="480" w:lineRule="auto"/>
        <w:ind w:firstLine="480"/>
        <w:rPr>
          <w:rFonts w:eastAsia="宋体" w:cs="Times New Roman"/>
          <w:bCs/>
        </w:rPr>
      </w:pPr>
      <w:r>
        <w:rPr>
          <w:rFonts w:eastAsia="宋体" w:cs="Times New Roman"/>
          <w:bCs/>
        </w:rPr>
        <w:t>地址：桐乡市濮院镇</w:t>
      </w:r>
      <w:r>
        <w:rPr>
          <w:rFonts w:hint="eastAsia" w:eastAsia="宋体" w:cs="Times New Roman"/>
          <w:bCs/>
        </w:rPr>
        <w:t>濮院大道3715号</w:t>
      </w:r>
    </w:p>
    <w:p>
      <w:pPr>
        <w:pStyle w:val="2"/>
        <w:ind w:left="480" w:firstLine="480"/>
        <w:rPr>
          <w:rFonts w:eastAsia="宋体" w:cs="Times New Roman"/>
        </w:rPr>
      </w:pPr>
    </w:p>
    <w:p>
      <w:pPr>
        <w:pStyle w:val="2"/>
        <w:ind w:left="480" w:firstLine="480"/>
        <w:rPr>
          <w:rFonts w:eastAsia="宋体" w:cs="Times New Roman"/>
        </w:rPr>
        <w:sectPr>
          <w:footerReference r:id="rId17" w:type="first"/>
          <w:pgSz w:w="11906" w:h="16838"/>
          <w:pgMar w:top="1418" w:right="1701" w:bottom="1418" w:left="1701" w:header="851" w:footer="992" w:gutter="0"/>
          <w:pgNumType w:fmt="numberInDash" w:start="1"/>
          <w:cols w:space="425" w:num="1"/>
          <w:titlePg/>
          <w:docGrid w:type="lines" w:linePitch="312" w:charSpace="0"/>
        </w:sectPr>
      </w:pPr>
    </w:p>
    <w:p>
      <w:pPr>
        <w:pStyle w:val="4"/>
        <w:jc w:val="center"/>
        <w:rPr>
          <w:rFonts w:cs="Times New Roman"/>
          <w:sz w:val="36"/>
          <w:szCs w:val="52"/>
        </w:rPr>
      </w:pPr>
      <w:r>
        <w:rPr>
          <w:rFonts w:cs="Times New Roman"/>
          <w:sz w:val="36"/>
          <w:szCs w:val="52"/>
        </w:rPr>
        <w:t>目  录</w:t>
      </w:r>
    </w:p>
    <w:p>
      <w:pPr>
        <w:pStyle w:val="15"/>
        <w:tabs>
          <w:tab w:val="right" w:leader="dot" w:pos="8296"/>
        </w:tabs>
        <w:rPr>
          <w:rFonts w:cs="Times New Roman"/>
          <w:b/>
          <w:bCs/>
          <w:sz w:val="21"/>
          <w:szCs w:val="22"/>
        </w:rPr>
      </w:pPr>
      <w:r>
        <w:rPr>
          <w:rFonts w:cs="Times New Roman"/>
          <w:b/>
          <w:bCs/>
          <w:sz w:val="36"/>
          <w:szCs w:val="36"/>
        </w:rPr>
        <w:fldChar w:fldCharType="begin"/>
      </w:r>
      <w:r>
        <w:rPr>
          <w:rFonts w:cs="Times New Roman"/>
          <w:b/>
          <w:bCs/>
          <w:sz w:val="36"/>
          <w:szCs w:val="36"/>
        </w:rPr>
        <w:instrText xml:space="preserve">TOC \o "1-3" \h \u </w:instrText>
      </w:r>
      <w:r>
        <w:rPr>
          <w:rFonts w:cs="Times New Roman"/>
          <w:b/>
          <w:bCs/>
          <w:sz w:val="36"/>
          <w:szCs w:val="36"/>
        </w:rPr>
        <w:fldChar w:fldCharType="separate"/>
      </w:r>
      <w:r>
        <w:fldChar w:fldCharType="begin"/>
      </w:r>
      <w:r>
        <w:instrText xml:space="preserve"> HYPERLINK \l "_Toc61958985" </w:instrText>
      </w:r>
      <w:r>
        <w:fldChar w:fldCharType="separate"/>
      </w:r>
      <w:r>
        <w:rPr>
          <w:rStyle w:val="27"/>
          <w:rFonts w:cs="Times New Roman"/>
          <w:b/>
          <w:bCs/>
          <w:color w:val="auto"/>
        </w:rPr>
        <w:t>1、验收项目概况</w:t>
      </w:r>
      <w:r>
        <w:rPr>
          <w:rFonts w:cs="Times New Roman"/>
          <w:b/>
          <w:bCs/>
        </w:rPr>
        <w:tab/>
      </w:r>
      <w:r>
        <w:rPr>
          <w:rFonts w:cs="Times New Roman"/>
          <w:b/>
          <w:bCs/>
        </w:rPr>
        <w:fldChar w:fldCharType="begin"/>
      </w:r>
      <w:r>
        <w:rPr>
          <w:rFonts w:cs="Times New Roman"/>
          <w:b/>
          <w:bCs/>
        </w:rPr>
        <w:instrText xml:space="preserve"> PAGEREF _Toc61958985 \h </w:instrText>
      </w:r>
      <w:r>
        <w:rPr>
          <w:rFonts w:cs="Times New Roman"/>
          <w:b/>
          <w:bCs/>
        </w:rPr>
        <w:fldChar w:fldCharType="separate"/>
      </w:r>
      <w:r>
        <w:rPr>
          <w:rFonts w:cs="Times New Roman"/>
          <w:b/>
          <w:bCs/>
        </w:rPr>
        <w:t>- 1 -</w:t>
      </w:r>
      <w:r>
        <w:rPr>
          <w:rFonts w:cs="Times New Roman"/>
          <w:b/>
          <w:bCs/>
        </w:rPr>
        <w:fldChar w:fldCharType="end"/>
      </w:r>
      <w:r>
        <w:rPr>
          <w:rFonts w:cs="Times New Roman"/>
          <w:b/>
          <w:bCs/>
        </w:rPr>
        <w:fldChar w:fldCharType="end"/>
      </w:r>
    </w:p>
    <w:p>
      <w:pPr>
        <w:pStyle w:val="15"/>
        <w:tabs>
          <w:tab w:val="right" w:leader="dot" w:pos="8296"/>
        </w:tabs>
        <w:rPr>
          <w:rFonts w:cs="Times New Roman"/>
          <w:b/>
          <w:bCs/>
          <w:sz w:val="21"/>
          <w:szCs w:val="22"/>
        </w:rPr>
      </w:pPr>
      <w:r>
        <w:fldChar w:fldCharType="begin"/>
      </w:r>
      <w:r>
        <w:instrText xml:space="preserve"> HYPERLINK \l "_Toc61958986" </w:instrText>
      </w:r>
      <w:r>
        <w:fldChar w:fldCharType="separate"/>
      </w:r>
      <w:r>
        <w:rPr>
          <w:rStyle w:val="27"/>
          <w:rFonts w:cs="Times New Roman"/>
          <w:b/>
          <w:bCs/>
          <w:color w:val="auto"/>
        </w:rPr>
        <w:t>2、验收依据</w:t>
      </w:r>
      <w:r>
        <w:rPr>
          <w:rFonts w:cs="Times New Roman"/>
          <w:b/>
          <w:bCs/>
        </w:rPr>
        <w:tab/>
      </w:r>
      <w:r>
        <w:rPr>
          <w:rFonts w:cs="Times New Roman"/>
          <w:b/>
          <w:bCs/>
        </w:rPr>
        <w:fldChar w:fldCharType="begin"/>
      </w:r>
      <w:r>
        <w:rPr>
          <w:rFonts w:cs="Times New Roman"/>
          <w:b/>
          <w:bCs/>
        </w:rPr>
        <w:instrText xml:space="preserve"> PAGEREF _Toc61958986 \h </w:instrText>
      </w:r>
      <w:r>
        <w:rPr>
          <w:rFonts w:cs="Times New Roman"/>
          <w:b/>
          <w:bCs/>
        </w:rPr>
        <w:fldChar w:fldCharType="separate"/>
      </w:r>
      <w:r>
        <w:rPr>
          <w:rFonts w:cs="Times New Roman"/>
          <w:b/>
          <w:bCs/>
        </w:rPr>
        <w:t>- 1 -</w:t>
      </w:r>
      <w:r>
        <w:rPr>
          <w:rFonts w:cs="Times New Roman"/>
          <w:b/>
          <w:bCs/>
        </w:rPr>
        <w:fldChar w:fldCharType="end"/>
      </w:r>
      <w:r>
        <w:rPr>
          <w:rFonts w:cs="Times New Roman"/>
          <w:b/>
          <w:bCs/>
        </w:rPr>
        <w:fldChar w:fldCharType="end"/>
      </w:r>
    </w:p>
    <w:p>
      <w:pPr>
        <w:pStyle w:val="15"/>
        <w:tabs>
          <w:tab w:val="right" w:leader="dot" w:pos="8296"/>
        </w:tabs>
        <w:rPr>
          <w:rFonts w:cs="Times New Roman"/>
          <w:b/>
          <w:bCs/>
          <w:sz w:val="21"/>
          <w:szCs w:val="22"/>
        </w:rPr>
      </w:pPr>
      <w:r>
        <w:fldChar w:fldCharType="begin"/>
      </w:r>
      <w:r>
        <w:instrText xml:space="preserve"> HYPERLINK \l "_Toc61958987" </w:instrText>
      </w:r>
      <w:r>
        <w:fldChar w:fldCharType="separate"/>
      </w:r>
      <w:r>
        <w:rPr>
          <w:rStyle w:val="27"/>
          <w:rFonts w:cs="Times New Roman"/>
          <w:b/>
          <w:bCs/>
          <w:color w:val="auto"/>
        </w:rPr>
        <w:t>3、工程建设情况</w:t>
      </w:r>
      <w:r>
        <w:rPr>
          <w:rFonts w:cs="Times New Roman"/>
          <w:b/>
          <w:bCs/>
        </w:rPr>
        <w:tab/>
      </w:r>
      <w:r>
        <w:rPr>
          <w:rFonts w:cs="Times New Roman"/>
          <w:b/>
          <w:bCs/>
        </w:rPr>
        <w:fldChar w:fldCharType="begin"/>
      </w:r>
      <w:r>
        <w:rPr>
          <w:rFonts w:cs="Times New Roman"/>
          <w:b/>
          <w:bCs/>
        </w:rPr>
        <w:instrText xml:space="preserve"> PAGEREF _Toc61958987 \h </w:instrText>
      </w:r>
      <w:r>
        <w:rPr>
          <w:rFonts w:cs="Times New Roman"/>
          <w:b/>
          <w:bCs/>
        </w:rPr>
        <w:fldChar w:fldCharType="separate"/>
      </w:r>
      <w:r>
        <w:rPr>
          <w:rFonts w:cs="Times New Roman"/>
          <w:b/>
          <w:bCs/>
        </w:rPr>
        <w:t>- 4 -</w:t>
      </w:r>
      <w:r>
        <w:rPr>
          <w:rFonts w:cs="Times New Roman"/>
          <w:b/>
          <w:bCs/>
        </w:rPr>
        <w:fldChar w:fldCharType="end"/>
      </w:r>
      <w:r>
        <w:rPr>
          <w:rFonts w:cs="Times New Roman"/>
          <w:b/>
          <w:bCs/>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"_Toc61958988" </w:instrText>
      </w:r>
      <w:r>
        <w:fldChar w:fldCharType="separate"/>
      </w:r>
      <w:r>
        <w:rPr>
          <w:rStyle w:val="27"/>
          <w:rFonts w:eastAsia="宋体" w:cs="Times New Roman"/>
          <w:color w:val="auto"/>
        </w:rPr>
        <w:t>3.1地理位置及平面布置</w:t>
      </w:r>
      <w:r>
        <w:rPr>
          <w:rFonts w:eastAsia="宋体" w:cs="Times New Roman"/>
        </w:rPr>
        <w:tab/>
      </w:r>
      <w:r>
        <w:rPr>
          <w:rFonts w:eastAsia="宋体" w:cs="Times New Roman"/>
        </w:rPr>
        <w:fldChar w:fldCharType="begin"/>
      </w:r>
      <w:r>
        <w:rPr>
          <w:rFonts w:eastAsia="宋体" w:cs="Times New Roman"/>
        </w:rPr>
        <w:instrText xml:space="preserve"> PAGEREF _Toc61958988 \h </w:instrText>
      </w:r>
      <w:r>
        <w:rPr>
          <w:rFonts w:eastAsia="宋体" w:cs="Times New Roman"/>
        </w:rPr>
        <w:fldChar w:fldCharType="separate"/>
      </w:r>
      <w:r>
        <w:rPr>
          <w:rFonts w:eastAsia="宋体" w:cs="Times New Roman"/>
        </w:rPr>
        <w:t>- 4 -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"_Toc61958989" </w:instrText>
      </w:r>
      <w:r>
        <w:fldChar w:fldCharType="separate"/>
      </w:r>
      <w:r>
        <w:rPr>
          <w:rStyle w:val="27"/>
          <w:rFonts w:eastAsia="宋体" w:cs="Times New Roman"/>
          <w:color w:val="auto"/>
        </w:rPr>
        <w:t>3.2建设内容</w:t>
      </w:r>
      <w:r>
        <w:rPr>
          <w:rFonts w:eastAsia="宋体" w:cs="Times New Roman"/>
        </w:rPr>
        <w:tab/>
      </w:r>
      <w:r>
        <w:rPr>
          <w:rFonts w:eastAsia="宋体" w:cs="Times New Roman"/>
        </w:rPr>
        <w:fldChar w:fldCharType="begin"/>
      </w:r>
      <w:r>
        <w:rPr>
          <w:rFonts w:eastAsia="宋体" w:cs="Times New Roman"/>
        </w:rPr>
        <w:instrText xml:space="preserve"> PAGEREF _Toc61958989 \h </w:instrText>
      </w:r>
      <w:r>
        <w:rPr>
          <w:rFonts w:eastAsia="宋体" w:cs="Times New Roman"/>
        </w:rPr>
        <w:fldChar w:fldCharType="separate"/>
      </w:r>
      <w:r>
        <w:rPr>
          <w:rFonts w:eastAsia="宋体" w:cs="Times New Roman"/>
        </w:rPr>
        <w:t>- 6 -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"_Toc61958990" </w:instrText>
      </w:r>
      <w:r>
        <w:fldChar w:fldCharType="separate"/>
      </w:r>
      <w:r>
        <w:rPr>
          <w:rStyle w:val="27"/>
          <w:rFonts w:eastAsia="宋体" w:cs="Times New Roman"/>
          <w:color w:val="auto"/>
        </w:rPr>
        <w:t>3.3主要原辅材料</w:t>
      </w:r>
      <w:r>
        <w:rPr>
          <w:rFonts w:eastAsia="宋体" w:cs="Times New Roman"/>
        </w:rPr>
        <w:tab/>
      </w:r>
      <w:r>
        <w:rPr>
          <w:rFonts w:eastAsia="宋体" w:cs="Times New Roman"/>
        </w:rPr>
        <w:fldChar w:fldCharType="begin"/>
      </w:r>
      <w:r>
        <w:rPr>
          <w:rFonts w:eastAsia="宋体" w:cs="Times New Roman"/>
        </w:rPr>
        <w:instrText xml:space="preserve"> PAGEREF _Toc61958990 \h </w:instrText>
      </w:r>
      <w:r>
        <w:rPr>
          <w:rFonts w:eastAsia="宋体" w:cs="Times New Roman"/>
        </w:rPr>
        <w:fldChar w:fldCharType="separate"/>
      </w:r>
      <w:r>
        <w:rPr>
          <w:rFonts w:eastAsia="宋体" w:cs="Times New Roman"/>
        </w:rPr>
        <w:t>- 6 -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"_Toc61958991" </w:instrText>
      </w:r>
      <w:r>
        <w:fldChar w:fldCharType="separate"/>
      </w:r>
      <w:r>
        <w:rPr>
          <w:rStyle w:val="27"/>
          <w:rFonts w:eastAsia="宋体" w:cs="Times New Roman"/>
          <w:color w:val="auto"/>
        </w:rPr>
        <w:t>3.4用水情况</w:t>
      </w:r>
      <w:r>
        <w:rPr>
          <w:rFonts w:eastAsia="宋体" w:cs="Times New Roman"/>
        </w:rPr>
        <w:tab/>
      </w:r>
      <w:r>
        <w:rPr>
          <w:rFonts w:eastAsia="宋体" w:cs="Times New Roman"/>
        </w:rPr>
        <w:fldChar w:fldCharType="begin"/>
      </w:r>
      <w:r>
        <w:rPr>
          <w:rFonts w:eastAsia="宋体" w:cs="Times New Roman"/>
        </w:rPr>
        <w:instrText xml:space="preserve"> PAGEREF _Toc61958991 \h </w:instrText>
      </w:r>
      <w:r>
        <w:rPr>
          <w:rFonts w:eastAsia="宋体" w:cs="Times New Roman"/>
        </w:rPr>
        <w:fldChar w:fldCharType="separate"/>
      </w:r>
      <w:r>
        <w:rPr>
          <w:rFonts w:eastAsia="宋体" w:cs="Times New Roman"/>
        </w:rPr>
        <w:t>- 6 -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"_Toc61958992" </w:instrText>
      </w:r>
      <w:r>
        <w:fldChar w:fldCharType="separate"/>
      </w:r>
      <w:r>
        <w:rPr>
          <w:rStyle w:val="27"/>
          <w:rFonts w:eastAsia="宋体" w:cs="Times New Roman"/>
          <w:color w:val="auto"/>
        </w:rPr>
        <w:t>3.5生产工艺</w:t>
      </w:r>
      <w:r>
        <w:rPr>
          <w:rFonts w:eastAsia="宋体" w:cs="Times New Roman"/>
        </w:rPr>
        <w:tab/>
      </w:r>
      <w:r>
        <w:rPr>
          <w:rFonts w:eastAsia="宋体" w:cs="Times New Roman"/>
        </w:rPr>
        <w:fldChar w:fldCharType="begin"/>
      </w:r>
      <w:r>
        <w:rPr>
          <w:rFonts w:eastAsia="宋体" w:cs="Times New Roman"/>
        </w:rPr>
        <w:instrText xml:space="preserve"> PAGEREF _Toc61958992 \h </w:instrText>
      </w:r>
      <w:r>
        <w:rPr>
          <w:rFonts w:eastAsia="宋体" w:cs="Times New Roman"/>
        </w:rPr>
        <w:fldChar w:fldCharType="separate"/>
      </w:r>
      <w:r>
        <w:rPr>
          <w:rFonts w:eastAsia="宋体" w:cs="Times New Roman"/>
        </w:rPr>
        <w:t>- 7 -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"_Toc61958993" </w:instrText>
      </w:r>
      <w:r>
        <w:fldChar w:fldCharType="separate"/>
      </w:r>
      <w:r>
        <w:rPr>
          <w:rStyle w:val="27"/>
          <w:rFonts w:eastAsia="宋体" w:cs="Times New Roman"/>
          <w:color w:val="auto"/>
        </w:rPr>
        <w:t>3.6项目变动情况</w:t>
      </w:r>
      <w:r>
        <w:rPr>
          <w:rFonts w:eastAsia="宋体" w:cs="Times New Roman"/>
        </w:rPr>
        <w:tab/>
      </w:r>
      <w:r>
        <w:rPr>
          <w:rFonts w:eastAsia="宋体" w:cs="Times New Roman"/>
        </w:rPr>
        <w:fldChar w:fldCharType="begin"/>
      </w:r>
      <w:r>
        <w:rPr>
          <w:rFonts w:eastAsia="宋体" w:cs="Times New Roman"/>
        </w:rPr>
        <w:instrText xml:space="preserve"> PAGEREF _Toc61958993 \h </w:instrText>
      </w:r>
      <w:r>
        <w:rPr>
          <w:rFonts w:eastAsia="宋体" w:cs="Times New Roman"/>
        </w:rPr>
        <w:fldChar w:fldCharType="separate"/>
      </w:r>
      <w:r>
        <w:rPr>
          <w:rFonts w:eastAsia="宋体" w:cs="Times New Roman"/>
        </w:rPr>
        <w:t>- 8 -</w:t>
      </w:r>
      <w:r>
        <w:rPr>
          <w:rFonts w:eastAsia="宋体" w:cs="Times New Roman"/>
        </w:rPr>
        <w:fldChar w:fldCharType="end"/>
      </w:r>
      <w:r>
        <w:rPr>
          <w:rFonts w:eastAsia="宋体" w:cs="Times New Roman"/>
        </w:rPr>
        <w:fldChar w:fldCharType="end"/>
      </w:r>
    </w:p>
    <w:p>
      <w:pPr>
        <w:pStyle w:val="15"/>
        <w:tabs>
          <w:tab w:val="right" w:leader="dot" w:pos="8296"/>
        </w:tabs>
        <w:rPr>
          <w:rFonts w:cs="Times New Roman"/>
          <w:b/>
          <w:bCs/>
          <w:sz w:val="21"/>
          <w:szCs w:val="22"/>
        </w:rPr>
      </w:pPr>
      <w:r>
        <w:fldChar w:fldCharType="begin"/>
      </w:r>
      <w:r>
        <w:instrText xml:space="preserve"> HYPERLINK \l "_Toc61958994" </w:instrText>
      </w:r>
      <w:r>
        <w:fldChar w:fldCharType="separate"/>
      </w:r>
      <w:r>
        <w:rPr>
          <w:rStyle w:val="27"/>
          <w:rFonts w:cs="Times New Roman"/>
          <w:b/>
          <w:bCs/>
          <w:color w:val="auto"/>
        </w:rPr>
        <w:t>4、环境保护设施</w:t>
      </w:r>
      <w:r>
        <w:rPr>
          <w:rFonts w:cs="Times New Roman"/>
          <w:b/>
          <w:bCs/>
        </w:rPr>
        <w:tab/>
      </w:r>
      <w:r>
        <w:rPr>
          <w:rFonts w:cs="Times New Roman"/>
          <w:b/>
          <w:bCs/>
        </w:rPr>
        <w:fldChar w:fldCharType="begin"/>
      </w:r>
      <w:r>
        <w:rPr>
          <w:rFonts w:cs="Times New Roman"/>
          <w:b/>
          <w:bCs/>
        </w:rPr>
        <w:instrText xml:space="preserve"> PAGEREF _Toc61958994 \h </w:instrText>
      </w:r>
      <w:r>
        <w:rPr>
          <w:rFonts w:cs="Times New Roman"/>
          <w:b/>
          <w:bCs/>
        </w:rPr>
        <w:fldChar w:fldCharType="separate"/>
      </w:r>
      <w:r>
        <w:rPr>
          <w:rFonts w:cs="Times New Roman"/>
          <w:b/>
          <w:bCs/>
        </w:rPr>
        <w:t>- 9 -</w:t>
      </w:r>
      <w:r>
        <w:rPr>
          <w:rFonts w:cs="Times New Roman"/>
          <w:b/>
          <w:bCs/>
        </w:rPr>
        <w:fldChar w:fldCharType="end"/>
      </w:r>
      <w:r>
        <w:rPr>
          <w:rFonts w:cs="Times New Roman"/>
          <w:b/>
          <w:bCs/>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"_Toc61958995" </w:instrText>
      </w:r>
      <w:r>
        <w:fldChar w:fldCharType="separate"/>
      </w:r>
      <w:r>
        <w:rPr>
          <w:rStyle w:val="27"/>
          <w:rFonts w:eastAsia="宋体" w:cs="Times New Roman"/>
          <w:color w:val="auto"/>
        </w:rPr>
        <w:t>4.1污染物治理设施</w:t>
      </w:r>
      <w:r>
        <w:rPr>
          <w:rFonts w:eastAsia="宋体" w:cs="Times New Roman"/>
        </w:rPr>
        <w:tab/>
      </w:r>
      <w:r>
        <w:rPr>
          <w:rFonts w:eastAsia="宋体" w:cs="Times New Roman"/>
        </w:rPr>
        <w:fldChar w:fldCharType="begin"/>
      </w:r>
      <w:r>
        <w:rPr>
          <w:rFonts w:eastAsia="宋体" w:cs="Times New Roman"/>
        </w:rPr>
        <w:instrText xml:space="preserve"> PAGEREF _Toc61958995 \h </w:instrText>
      </w:r>
      <w:r>
        <w:rPr>
          <w:rFonts w:eastAsia="宋体" w:cs="Times New Roman"/>
        </w:rPr>
        <w:fldChar w:fldCharType="separate"/>
      </w:r>
      <w:r>
        <w:rPr>
          <w:rFonts w:eastAsia="宋体" w:cs="Times New Roman"/>
        </w:rPr>
        <w:t>- 9 -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"_Toc61959001" </w:instrText>
      </w:r>
      <w:r>
        <w:fldChar w:fldCharType="separate"/>
      </w:r>
      <w:r>
        <w:rPr>
          <w:rStyle w:val="27"/>
          <w:rFonts w:eastAsia="宋体" w:cs="Times New Roman"/>
          <w:color w:val="auto"/>
        </w:rPr>
        <w:t>4.2环保设施投资及“三同时”落实情况</w:t>
      </w:r>
      <w:r>
        <w:rPr>
          <w:rFonts w:eastAsia="宋体" w:cs="Times New Roman"/>
        </w:rPr>
        <w:tab/>
      </w:r>
      <w:r>
        <w:rPr>
          <w:rFonts w:eastAsia="宋体" w:cs="Times New Roman"/>
        </w:rPr>
        <w:fldChar w:fldCharType="begin"/>
      </w:r>
      <w:r>
        <w:rPr>
          <w:rFonts w:eastAsia="宋体" w:cs="Times New Roman"/>
        </w:rPr>
        <w:instrText xml:space="preserve"> PAGEREF _Toc61959001 \h </w:instrText>
      </w:r>
      <w:r>
        <w:rPr>
          <w:rFonts w:eastAsia="宋体" w:cs="Times New Roman"/>
        </w:rPr>
        <w:fldChar w:fldCharType="separate"/>
      </w:r>
      <w:r>
        <w:rPr>
          <w:rFonts w:eastAsia="宋体" w:cs="Times New Roman"/>
        </w:rPr>
        <w:t>- 10 -</w:t>
      </w:r>
      <w:r>
        <w:rPr>
          <w:rFonts w:eastAsia="宋体" w:cs="Times New Roman"/>
        </w:rPr>
        <w:fldChar w:fldCharType="end"/>
      </w:r>
      <w:r>
        <w:rPr>
          <w:rFonts w:eastAsia="宋体" w:cs="Times New Roman"/>
        </w:rPr>
        <w:fldChar w:fldCharType="end"/>
      </w:r>
    </w:p>
    <w:p>
      <w:pPr>
        <w:pStyle w:val="15"/>
        <w:tabs>
          <w:tab w:val="right" w:leader="dot" w:pos="8296"/>
        </w:tabs>
        <w:rPr>
          <w:rFonts w:cs="Times New Roman"/>
          <w:b/>
          <w:bCs/>
          <w:sz w:val="21"/>
          <w:szCs w:val="22"/>
        </w:rPr>
      </w:pPr>
      <w:r>
        <w:fldChar w:fldCharType="begin"/>
      </w:r>
      <w:r>
        <w:instrText xml:space="preserve"> HYPERLINK \l "_Toc61959002" </w:instrText>
      </w:r>
      <w:r>
        <w:fldChar w:fldCharType="separate"/>
      </w:r>
      <w:r>
        <w:rPr>
          <w:rStyle w:val="27"/>
          <w:rFonts w:cs="Times New Roman"/>
          <w:b/>
          <w:bCs/>
          <w:color w:val="auto"/>
        </w:rPr>
        <w:t>5、建设项目环评报告表的主要结论与建议及审批部门审批决定</w:t>
      </w:r>
      <w:r>
        <w:rPr>
          <w:rFonts w:cs="Times New Roman"/>
          <w:b/>
          <w:bCs/>
        </w:rPr>
        <w:tab/>
      </w:r>
      <w:r>
        <w:rPr>
          <w:rFonts w:cs="Times New Roman"/>
          <w:b/>
          <w:bCs/>
        </w:rPr>
        <w:fldChar w:fldCharType="begin"/>
      </w:r>
      <w:r>
        <w:rPr>
          <w:rFonts w:cs="Times New Roman"/>
          <w:b/>
          <w:bCs/>
        </w:rPr>
        <w:instrText xml:space="preserve"> PAGEREF _Toc61959002 \h </w:instrText>
      </w:r>
      <w:r>
        <w:rPr>
          <w:rFonts w:cs="Times New Roman"/>
          <w:b/>
          <w:bCs/>
        </w:rPr>
        <w:fldChar w:fldCharType="separate"/>
      </w:r>
      <w:r>
        <w:rPr>
          <w:rFonts w:cs="Times New Roman"/>
          <w:b/>
          <w:bCs/>
        </w:rPr>
        <w:t>- 13 -</w:t>
      </w:r>
      <w:r>
        <w:rPr>
          <w:rFonts w:cs="Times New Roman"/>
          <w:b/>
          <w:bCs/>
        </w:rPr>
        <w:fldChar w:fldCharType="end"/>
      </w:r>
      <w:r>
        <w:rPr>
          <w:rFonts w:cs="Times New Roman"/>
          <w:b/>
          <w:bCs/>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"_Toc61959003" </w:instrText>
      </w:r>
      <w:r>
        <w:fldChar w:fldCharType="separate"/>
      </w:r>
      <w:r>
        <w:rPr>
          <w:rStyle w:val="27"/>
          <w:rFonts w:eastAsia="宋体" w:cs="Times New Roman"/>
          <w:color w:val="auto"/>
        </w:rPr>
        <w:t>5.1建设项目环评报告表的主要结论与建议</w:t>
      </w:r>
      <w:r>
        <w:rPr>
          <w:rFonts w:eastAsia="宋体" w:cs="Times New Roman"/>
        </w:rPr>
        <w:tab/>
      </w:r>
      <w:r>
        <w:rPr>
          <w:rFonts w:eastAsia="宋体" w:cs="Times New Roman"/>
        </w:rPr>
        <w:fldChar w:fldCharType="begin"/>
      </w:r>
      <w:r>
        <w:rPr>
          <w:rFonts w:eastAsia="宋体" w:cs="Times New Roman"/>
        </w:rPr>
        <w:instrText xml:space="preserve"> PAGEREF _Toc61959003 \h </w:instrText>
      </w:r>
      <w:r>
        <w:rPr>
          <w:rFonts w:eastAsia="宋体" w:cs="Times New Roman"/>
        </w:rPr>
        <w:fldChar w:fldCharType="separate"/>
      </w:r>
      <w:r>
        <w:rPr>
          <w:rFonts w:eastAsia="宋体" w:cs="Times New Roman"/>
        </w:rPr>
        <w:t>- 13 -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"_Toc61959004" </w:instrText>
      </w:r>
      <w:r>
        <w:fldChar w:fldCharType="separate"/>
      </w:r>
      <w:r>
        <w:rPr>
          <w:rStyle w:val="27"/>
          <w:rFonts w:eastAsia="宋体" w:cs="Times New Roman"/>
          <w:color w:val="auto"/>
        </w:rPr>
        <w:t>5.2审批部门审批决定</w:t>
      </w:r>
      <w:r>
        <w:rPr>
          <w:rFonts w:eastAsia="宋体" w:cs="Times New Roman"/>
        </w:rPr>
        <w:tab/>
      </w:r>
      <w:r>
        <w:rPr>
          <w:rFonts w:eastAsia="宋体" w:cs="Times New Roman"/>
        </w:rPr>
        <w:fldChar w:fldCharType="begin"/>
      </w:r>
      <w:r>
        <w:rPr>
          <w:rFonts w:eastAsia="宋体" w:cs="Times New Roman"/>
        </w:rPr>
        <w:instrText xml:space="preserve"> PAGEREF _Toc61959004 \h </w:instrText>
      </w:r>
      <w:r>
        <w:rPr>
          <w:rFonts w:eastAsia="宋体" w:cs="Times New Roman"/>
        </w:rPr>
        <w:fldChar w:fldCharType="separate"/>
      </w:r>
      <w:r>
        <w:rPr>
          <w:rFonts w:eastAsia="宋体" w:cs="Times New Roman"/>
        </w:rPr>
        <w:t>- 14 -</w:t>
      </w:r>
      <w:r>
        <w:rPr>
          <w:rFonts w:eastAsia="宋体" w:cs="Times New Roman"/>
        </w:rPr>
        <w:fldChar w:fldCharType="end"/>
      </w:r>
      <w:r>
        <w:rPr>
          <w:rFonts w:eastAsia="宋体" w:cs="Times New Roman"/>
        </w:rPr>
        <w:fldChar w:fldCharType="end"/>
      </w:r>
    </w:p>
    <w:p>
      <w:pPr>
        <w:pStyle w:val="15"/>
        <w:tabs>
          <w:tab w:val="right" w:leader="dot" w:pos="8296"/>
        </w:tabs>
        <w:rPr>
          <w:rFonts w:cs="Times New Roman"/>
          <w:b/>
          <w:bCs/>
          <w:sz w:val="21"/>
          <w:szCs w:val="22"/>
        </w:rPr>
      </w:pPr>
      <w:r>
        <w:fldChar w:fldCharType="begin"/>
      </w:r>
      <w:r>
        <w:instrText xml:space="preserve"> HYPERLINK \l "_Toc61959005" </w:instrText>
      </w:r>
      <w:r>
        <w:fldChar w:fldCharType="separate"/>
      </w:r>
      <w:r>
        <w:rPr>
          <w:rStyle w:val="27"/>
          <w:rFonts w:cs="Times New Roman"/>
          <w:b/>
          <w:bCs/>
          <w:color w:val="auto"/>
        </w:rPr>
        <w:t>6、验收执行标准</w:t>
      </w:r>
      <w:r>
        <w:rPr>
          <w:rFonts w:cs="Times New Roman"/>
          <w:b/>
          <w:bCs/>
        </w:rPr>
        <w:tab/>
      </w:r>
      <w:r>
        <w:rPr>
          <w:rFonts w:cs="Times New Roman"/>
          <w:b/>
          <w:bCs/>
        </w:rPr>
        <w:fldChar w:fldCharType="begin"/>
      </w:r>
      <w:r>
        <w:rPr>
          <w:rFonts w:cs="Times New Roman"/>
          <w:b/>
          <w:bCs/>
        </w:rPr>
        <w:instrText xml:space="preserve"> PAGEREF _Toc61959005 \h </w:instrText>
      </w:r>
      <w:r>
        <w:rPr>
          <w:rFonts w:cs="Times New Roman"/>
          <w:b/>
          <w:bCs/>
        </w:rPr>
        <w:fldChar w:fldCharType="separate"/>
      </w:r>
      <w:r>
        <w:rPr>
          <w:rFonts w:cs="Times New Roman"/>
          <w:b/>
          <w:bCs/>
        </w:rPr>
        <w:t>- 17 -</w:t>
      </w:r>
      <w:r>
        <w:rPr>
          <w:rFonts w:cs="Times New Roman"/>
          <w:b/>
          <w:bCs/>
        </w:rPr>
        <w:fldChar w:fldCharType="end"/>
      </w:r>
      <w:r>
        <w:rPr>
          <w:rFonts w:cs="Times New Roman"/>
          <w:b/>
          <w:bCs/>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"_Toc61959006" </w:instrText>
      </w:r>
      <w:r>
        <w:fldChar w:fldCharType="separate"/>
      </w:r>
      <w:r>
        <w:rPr>
          <w:rStyle w:val="27"/>
          <w:rFonts w:eastAsia="宋体" w:cs="Times New Roman"/>
          <w:color w:val="auto"/>
        </w:rPr>
        <w:t>6.1废水</w:t>
      </w:r>
      <w:r>
        <w:rPr>
          <w:rFonts w:eastAsia="宋体" w:cs="Times New Roman"/>
        </w:rPr>
        <w:tab/>
      </w:r>
      <w:r>
        <w:rPr>
          <w:rFonts w:eastAsia="宋体" w:cs="Times New Roman"/>
        </w:rPr>
        <w:fldChar w:fldCharType="begin"/>
      </w:r>
      <w:r>
        <w:rPr>
          <w:rFonts w:eastAsia="宋体" w:cs="Times New Roman"/>
        </w:rPr>
        <w:instrText xml:space="preserve"> PAGEREF _Toc61959006 \h </w:instrText>
      </w:r>
      <w:r>
        <w:rPr>
          <w:rFonts w:eastAsia="宋体" w:cs="Times New Roman"/>
        </w:rPr>
        <w:fldChar w:fldCharType="separate"/>
      </w:r>
      <w:r>
        <w:rPr>
          <w:rFonts w:eastAsia="宋体" w:cs="Times New Roman"/>
        </w:rPr>
        <w:t>- 17 -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"_Toc61959007" </w:instrText>
      </w:r>
      <w:r>
        <w:fldChar w:fldCharType="separate"/>
      </w:r>
      <w:r>
        <w:rPr>
          <w:rStyle w:val="27"/>
          <w:rFonts w:eastAsia="宋体" w:cs="Times New Roman"/>
          <w:color w:val="auto"/>
        </w:rPr>
        <w:t>6.2废气</w:t>
      </w:r>
      <w:r>
        <w:rPr>
          <w:rFonts w:eastAsia="宋体" w:cs="Times New Roman"/>
        </w:rPr>
        <w:tab/>
      </w:r>
      <w:r>
        <w:rPr>
          <w:rFonts w:eastAsia="宋体" w:cs="Times New Roman"/>
        </w:rPr>
        <w:fldChar w:fldCharType="begin"/>
      </w:r>
      <w:r>
        <w:rPr>
          <w:rFonts w:eastAsia="宋体" w:cs="Times New Roman"/>
        </w:rPr>
        <w:instrText xml:space="preserve"> PAGEREF _Toc61959007 \h </w:instrText>
      </w:r>
      <w:r>
        <w:rPr>
          <w:rFonts w:eastAsia="宋体" w:cs="Times New Roman"/>
        </w:rPr>
        <w:fldChar w:fldCharType="separate"/>
      </w:r>
      <w:r>
        <w:rPr>
          <w:rFonts w:eastAsia="宋体" w:cs="Times New Roman"/>
        </w:rPr>
        <w:t>- 17 -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"_Toc61959008" </w:instrText>
      </w:r>
      <w:r>
        <w:fldChar w:fldCharType="separate"/>
      </w:r>
      <w:r>
        <w:rPr>
          <w:rStyle w:val="27"/>
          <w:rFonts w:eastAsia="宋体" w:cs="Times New Roman"/>
          <w:color w:val="auto"/>
        </w:rPr>
        <w:t>6.3噪声</w:t>
      </w:r>
      <w:r>
        <w:rPr>
          <w:rFonts w:eastAsia="宋体" w:cs="Times New Roman"/>
        </w:rPr>
        <w:tab/>
      </w:r>
      <w:r>
        <w:rPr>
          <w:rFonts w:eastAsia="宋体" w:cs="Times New Roman"/>
        </w:rPr>
        <w:fldChar w:fldCharType="begin"/>
      </w:r>
      <w:r>
        <w:rPr>
          <w:rFonts w:eastAsia="宋体" w:cs="Times New Roman"/>
        </w:rPr>
        <w:instrText xml:space="preserve"> PAGEREF _Toc61959008 \h </w:instrText>
      </w:r>
      <w:r>
        <w:rPr>
          <w:rFonts w:eastAsia="宋体" w:cs="Times New Roman"/>
        </w:rPr>
        <w:fldChar w:fldCharType="separate"/>
      </w:r>
      <w:r>
        <w:rPr>
          <w:rFonts w:eastAsia="宋体" w:cs="Times New Roman"/>
        </w:rPr>
        <w:t>- 17 -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"_Toc61959009" </w:instrText>
      </w:r>
      <w:r>
        <w:fldChar w:fldCharType="separate"/>
      </w:r>
      <w:r>
        <w:rPr>
          <w:rStyle w:val="27"/>
          <w:rFonts w:eastAsia="宋体" w:cs="Times New Roman"/>
          <w:color w:val="auto"/>
        </w:rPr>
        <w:t>6.4固体废弃物</w:t>
      </w:r>
      <w:r>
        <w:rPr>
          <w:rFonts w:eastAsia="宋体" w:cs="Times New Roman"/>
        </w:rPr>
        <w:tab/>
      </w:r>
      <w:r>
        <w:rPr>
          <w:rFonts w:eastAsia="宋体" w:cs="Times New Roman"/>
        </w:rPr>
        <w:fldChar w:fldCharType="begin"/>
      </w:r>
      <w:r>
        <w:rPr>
          <w:rFonts w:eastAsia="宋体" w:cs="Times New Roman"/>
        </w:rPr>
        <w:instrText xml:space="preserve"> PAGEREF _Toc61959009 \h </w:instrText>
      </w:r>
      <w:r>
        <w:rPr>
          <w:rFonts w:eastAsia="宋体" w:cs="Times New Roman"/>
        </w:rPr>
        <w:fldChar w:fldCharType="separate"/>
      </w:r>
      <w:r>
        <w:rPr>
          <w:rFonts w:eastAsia="宋体" w:cs="Times New Roman"/>
        </w:rPr>
        <w:t>- 18 -</w:t>
      </w:r>
      <w:r>
        <w:rPr>
          <w:rFonts w:eastAsia="宋体" w:cs="Times New Roman"/>
        </w:rPr>
        <w:fldChar w:fldCharType="end"/>
      </w:r>
      <w:r>
        <w:rPr>
          <w:rFonts w:eastAsia="宋体" w:cs="Times New Roman"/>
        </w:rPr>
        <w:fldChar w:fldCharType="end"/>
      </w:r>
    </w:p>
    <w:p>
      <w:pPr>
        <w:pStyle w:val="15"/>
        <w:tabs>
          <w:tab w:val="right" w:leader="dot" w:pos="8296"/>
        </w:tabs>
        <w:rPr>
          <w:rFonts w:cs="Times New Roman"/>
          <w:b/>
          <w:bCs/>
          <w:sz w:val="21"/>
          <w:szCs w:val="22"/>
        </w:rPr>
      </w:pPr>
      <w:r>
        <w:fldChar w:fldCharType="begin"/>
      </w:r>
      <w:r>
        <w:instrText xml:space="preserve"> HYPERLINK \l "_Toc61959010" </w:instrText>
      </w:r>
      <w:r>
        <w:fldChar w:fldCharType="separate"/>
      </w:r>
      <w:r>
        <w:rPr>
          <w:rStyle w:val="27"/>
          <w:rFonts w:cs="Times New Roman"/>
          <w:b/>
          <w:bCs/>
          <w:color w:val="auto"/>
        </w:rPr>
        <w:t>7、验收监测内容</w:t>
      </w:r>
      <w:r>
        <w:rPr>
          <w:rFonts w:cs="Times New Roman"/>
          <w:b/>
          <w:bCs/>
        </w:rPr>
        <w:tab/>
      </w:r>
      <w:r>
        <w:rPr>
          <w:rFonts w:cs="Times New Roman"/>
          <w:b/>
          <w:bCs/>
        </w:rPr>
        <w:fldChar w:fldCharType="begin"/>
      </w:r>
      <w:r>
        <w:rPr>
          <w:rFonts w:cs="Times New Roman"/>
          <w:b/>
          <w:bCs/>
        </w:rPr>
        <w:instrText xml:space="preserve"> PAGEREF _Toc61959010 \h </w:instrText>
      </w:r>
      <w:r>
        <w:rPr>
          <w:rFonts w:cs="Times New Roman"/>
          <w:b/>
          <w:bCs/>
        </w:rPr>
        <w:fldChar w:fldCharType="separate"/>
      </w:r>
      <w:r>
        <w:rPr>
          <w:rFonts w:cs="Times New Roman"/>
          <w:b/>
          <w:bCs/>
        </w:rPr>
        <w:t>- 19 -</w:t>
      </w:r>
      <w:r>
        <w:rPr>
          <w:rFonts w:cs="Times New Roman"/>
          <w:b/>
          <w:bCs/>
        </w:rPr>
        <w:fldChar w:fldCharType="end"/>
      </w:r>
      <w:r>
        <w:rPr>
          <w:rFonts w:cs="Times New Roman"/>
          <w:b/>
          <w:bCs/>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"_Toc61959011" </w:instrText>
      </w:r>
      <w:r>
        <w:fldChar w:fldCharType="separate"/>
      </w:r>
      <w:r>
        <w:rPr>
          <w:rStyle w:val="27"/>
          <w:rFonts w:eastAsia="宋体" w:cs="Times New Roman"/>
          <w:color w:val="auto"/>
        </w:rPr>
        <w:t>7.1废水</w:t>
      </w:r>
      <w:r>
        <w:rPr>
          <w:rFonts w:eastAsia="宋体" w:cs="Times New Roman"/>
        </w:rPr>
        <w:tab/>
      </w:r>
      <w:r>
        <w:rPr>
          <w:rFonts w:eastAsia="宋体" w:cs="Times New Roman"/>
        </w:rPr>
        <w:fldChar w:fldCharType="begin"/>
      </w:r>
      <w:r>
        <w:rPr>
          <w:rFonts w:eastAsia="宋体" w:cs="Times New Roman"/>
        </w:rPr>
        <w:instrText xml:space="preserve"> PAGEREF _Toc61959011 \h </w:instrText>
      </w:r>
      <w:r>
        <w:rPr>
          <w:rFonts w:eastAsia="宋体" w:cs="Times New Roman"/>
        </w:rPr>
        <w:fldChar w:fldCharType="separate"/>
      </w:r>
      <w:r>
        <w:rPr>
          <w:rFonts w:eastAsia="宋体" w:cs="Times New Roman"/>
        </w:rPr>
        <w:t>- 19 -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"_Toc61959012" </w:instrText>
      </w:r>
      <w:r>
        <w:fldChar w:fldCharType="separate"/>
      </w:r>
      <w:r>
        <w:rPr>
          <w:rStyle w:val="27"/>
          <w:rFonts w:eastAsia="宋体" w:cs="Times New Roman"/>
          <w:color w:val="auto"/>
        </w:rPr>
        <w:t>7.2废气</w:t>
      </w:r>
      <w:r>
        <w:rPr>
          <w:rFonts w:eastAsia="宋体" w:cs="Times New Roman"/>
        </w:rPr>
        <w:tab/>
      </w:r>
      <w:r>
        <w:rPr>
          <w:rFonts w:eastAsia="宋体" w:cs="Times New Roman"/>
        </w:rPr>
        <w:fldChar w:fldCharType="begin"/>
      </w:r>
      <w:r>
        <w:rPr>
          <w:rFonts w:eastAsia="宋体" w:cs="Times New Roman"/>
        </w:rPr>
        <w:instrText xml:space="preserve"> PAGEREF _Toc61959012 \h </w:instrText>
      </w:r>
      <w:r>
        <w:rPr>
          <w:rFonts w:eastAsia="宋体" w:cs="Times New Roman"/>
        </w:rPr>
        <w:fldChar w:fldCharType="separate"/>
      </w:r>
      <w:r>
        <w:rPr>
          <w:rFonts w:eastAsia="宋体" w:cs="Times New Roman"/>
        </w:rPr>
        <w:t>- 19 -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"_Toc61959013" </w:instrText>
      </w:r>
      <w:r>
        <w:fldChar w:fldCharType="separate"/>
      </w:r>
      <w:r>
        <w:rPr>
          <w:rStyle w:val="27"/>
          <w:rFonts w:eastAsia="宋体" w:cs="Times New Roman"/>
          <w:color w:val="auto"/>
          <w:kern w:val="44"/>
        </w:rPr>
        <w:t>7.3噪声</w:t>
      </w:r>
      <w:r>
        <w:rPr>
          <w:rFonts w:eastAsia="宋体" w:cs="Times New Roman"/>
        </w:rPr>
        <w:tab/>
      </w:r>
      <w:r>
        <w:rPr>
          <w:rFonts w:eastAsia="宋体" w:cs="Times New Roman"/>
        </w:rPr>
        <w:fldChar w:fldCharType="begin"/>
      </w:r>
      <w:r>
        <w:rPr>
          <w:rFonts w:eastAsia="宋体" w:cs="Times New Roman"/>
        </w:rPr>
        <w:instrText xml:space="preserve"> PAGEREF _Toc61959013 \h </w:instrText>
      </w:r>
      <w:r>
        <w:rPr>
          <w:rFonts w:eastAsia="宋体" w:cs="Times New Roman"/>
        </w:rPr>
        <w:fldChar w:fldCharType="separate"/>
      </w:r>
      <w:r>
        <w:rPr>
          <w:rFonts w:eastAsia="宋体" w:cs="Times New Roman"/>
        </w:rPr>
        <w:t>- 19 -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"_Toc61959014" </w:instrText>
      </w:r>
      <w:r>
        <w:fldChar w:fldCharType="separate"/>
      </w:r>
      <w:r>
        <w:rPr>
          <w:rStyle w:val="27"/>
          <w:rFonts w:eastAsia="宋体" w:cs="Times New Roman"/>
          <w:color w:val="auto"/>
          <w:kern w:val="44"/>
        </w:rPr>
        <w:t>7.4固废</w:t>
      </w:r>
      <w:r>
        <w:rPr>
          <w:rFonts w:eastAsia="宋体" w:cs="Times New Roman"/>
        </w:rPr>
        <w:tab/>
      </w:r>
      <w:r>
        <w:rPr>
          <w:rFonts w:eastAsia="宋体" w:cs="Times New Roman"/>
        </w:rPr>
        <w:fldChar w:fldCharType="begin"/>
      </w:r>
      <w:r>
        <w:rPr>
          <w:rFonts w:eastAsia="宋体" w:cs="Times New Roman"/>
        </w:rPr>
        <w:instrText xml:space="preserve"> PAGEREF _Toc61959014 \h </w:instrText>
      </w:r>
      <w:r>
        <w:rPr>
          <w:rFonts w:eastAsia="宋体" w:cs="Times New Roman"/>
        </w:rPr>
        <w:fldChar w:fldCharType="separate"/>
      </w:r>
      <w:r>
        <w:rPr>
          <w:rFonts w:eastAsia="宋体" w:cs="Times New Roman"/>
        </w:rPr>
        <w:t>- 19 -</w:t>
      </w:r>
      <w:r>
        <w:rPr>
          <w:rFonts w:eastAsia="宋体" w:cs="Times New Roman"/>
        </w:rPr>
        <w:fldChar w:fldCharType="end"/>
      </w:r>
      <w:r>
        <w:rPr>
          <w:rFonts w:eastAsia="宋体" w:cs="Times New Roman"/>
        </w:rPr>
        <w:fldChar w:fldCharType="end"/>
      </w:r>
    </w:p>
    <w:p>
      <w:pPr>
        <w:pStyle w:val="15"/>
        <w:tabs>
          <w:tab w:val="right" w:leader="dot" w:pos="8296"/>
        </w:tabs>
        <w:rPr>
          <w:rFonts w:cs="Times New Roman"/>
          <w:b/>
          <w:bCs/>
          <w:sz w:val="21"/>
          <w:szCs w:val="22"/>
        </w:rPr>
      </w:pPr>
      <w:r>
        <w:fldChar w:fldCharType="begin"/>
      </w:r>
      <w:r>
        <w:instrText xml:space="preserve"> HYPERLINK \l "_Toc61959015" </w:instrText>
      </w:r>
      <w:r>
        <w:fldChar w:fldCharType="separate"/>
      </w:r>
      <w:r>
        <w:rPr>
          <w:rStyle w:val="27"/>
          <w:rFonts w:cs="Times New Roman"/>
          <w:b/>
          <w:bCs/>
          <w:color w:val="auto"/>
        </w:rPr>
        <w:t>8、质量保证及质量控制</w:t>
      </w:r>
      <w:r>
        <w:rPr>
          <w:rFonts w:cs="Times New Roman"/>
          <w:b/>
          <w:bCs/>
        </w:rPr>
        <w:tab/>
      </w:r>
      <w:r>
        <w:rPr>
          <w:rFonts w:cs="Times New Roman"/>
          <w:b/>
          <w:bCs/>
        </w:rPr>
        <w:fldChar w:fldCharType="begin"/>
      </w:r>
      <w:r>
        <w:rPr>
          <w:rFonts w:cs="Times New Roman"/>
          <w:b/>
          <w:bCs/>
        </w:rPr>
        <w:instrText xml:space="preserve"> PAGEREF _Toc61959015 \h </w:instrText>
      </w:r>
      <w:r>
        <w:rPr>
          <w:rFonts w:cs="Times New Roman"/>
          <w:b/>
          <w:bCs/>
        </w:rPr>
        <w:fldChar w:fldCharType="separate"/>
      </w:r>
      <w:r>
        <w:rPr>
          <w:rFonts w:cs="Times New Roman"/>
          <w:b/>
          <w:bCs/>
        </w:rPr>
        <w:t>- 20 -</w:t>
      </w:r>
      <w:r>
        <w:rPr>
          <w:rFonts w:cs="Times New Roman"/>
          <w:b/>
          <w:bCs/>
        </w:rPr>
        <w:fldChar w:fldCharType="end"/>
      </w:r>
      <w:r>
        <w:rPr>
          <w:rFonts w:cs="Times New Roman"/>
          <w:b/>
          <w:bCs/>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"_Toc61959016" </w:instrText>
      </w:r>
      <w:r>
        <w:fldChar w:fldCharType="separate"/>
      </w:r>
      <w:r>
        <w:rPr>
          <w:rStyle w:val="27"/>
          <w:rFonts w:eastAsia="宋体" w:cs="Times New Roman"/>
          <w:color w:val="auto"/>
        </w:rPr>
        <w:t>8.1监测分析方法</w:t>
      </w:r>
      <w:r>
        <w:rPr>
          <w:rFonts w:eastAsia="宋体" w:cs="Times New Roman"/>
        </w:rPr>
        <w:tab/>
      </w:r>
      <w:r>
        <w:rPr>
          <w:rFonts w:eastAsia="宋体" w:cs="Times New Roman"/>
        </w:rPr>
        <w:fldChar w:fldCharType="begin"/>
      </w:r>
      <w:r>
        <w:rPr>
          <w:rFonts w:eastAsia="宋体" w:cs="Times New Roman"/>
        </w:rPr>
        <w:instrText xml:space="preserve"> PAGEREF _Toc61959016 \h </w:instrText>
      </w:r>
      <w:r>
        <w:rPr>
          <w:rFonts w:eastAsia="宋体" w:cs="Times New Roman"/>
        </w:rPr>
        <w:fldChar w:fldCharType="separate"/>
      </w:r>
      <w:r>
        <w:rPr>
          <w:rFonts w:eastAsia="宋体" w:cs="Times New Roman"/>
        </w:rPr>
        <w:t>- 20 -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"_Toc61959017" </w:instrText>
      </w:r>
      <w:r>
        <w:fldChar w:fldCharType="separate"/>
      </w:r>
      <w:r>
        <w:rPr>
          <w:rStyle w:val="27"/>
          <w:rFonts w:eastAsia="宋体" w:cs="Times New Roman"/>
          <w:color w:val="auto"/>
        </w:rPr>
        <w:t>8.2监测仪器</w:t>
      </w:r>
      <w:r>
        <w:rPr>
          <w:rFonts w:eastAsia="宋体" w:cs="Times New Roman"/>
        </w:rPr>
        <w:tab/>
      </w:r>
      <w:r>
        <w:rPr>
          <w:rFonts w:eastAsia="宋体" w:cs="Times New Roman"/>
        </w:rPr>
        <w:fldChar w:fldCharType="begin"/>
      </w:r>
      <w:r>
        <w:rPr>
          <w:rFonts w:eastAsia="宋体" w:cs="Times New Roman"/>
        </w:rPr>
        <w:instrText xml:space="preserve"> PAGEREF _Toc61959017 \h </w:instrText>
      </w:r>
      <w:r>
        <w:rPr>
          <w:rFonts w:eastAsia="宋体" w:cs="Times New Roman"/>
        </w:rPr>
        <w:fldChar w:fldCharType="separate"/>
      </w:r>
      <w:r>
        <w:rPr>
          <w:rFonts w:eastAsia="宋体" w:cs="Times New Roman"/>
        </w:rPr>
        <w:t>- 20 -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"_Toc61959018" </w:instrText>
      </w:r>
      <w:r>
        <w:fldChar w:fldCharType="separate"/>
      </w:r>
      <w:r>
        <w:rPr>
          <w:rStyle w:val="27"/>
          <w:rFonts w:eastAsia="宋体" w:cs="Times New Roman"/>
          <w:color w:val="auto"/>
        </w:rPr>
        <w:t>8.3水质监测分析过程中的质量保证和质量控制</w:t>
      </w:r>
      <w:r>
        <w:rPr>
          <w:rFonts w:eastAsia="宋体" w:cs="Times New Roman"/>
        </w:rPr>
        <w:tab/>
      </w:r>
      <w:r>
        <w:rPr>
          <w:rFonts w:eastAsia="宋体" w:cs="Times New Roman"/>
        </w:rPr>
        <w:fldChar w:fldCharType="begin"/>
      </w:r>
      <w:r>
        <w:rPr>
          <w:rFonts w:eastAsia="宋体" w:cs="Times New Roman"/>
        </w:rPr>
        <w:instrText xml:space="preserve"> PAGEREF _Toc61959018 \h </w:instrText>
      </w:r>
      <w:r>
        <w:rPr>
          <w:rFonts w:eastAsia="宋体" w:cs="Times New Roman"/>
        </w:rPr>
        <w:fldChar w:fldCharType="separate"/>
      </w:r>
      <w:r>
        <w:rPr>
          <w:rFonts w:eastAsia="宋体" w:cs="Times New Roman"/>
        </w:rPr>
        <w:t>- 21 -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"_Toc61959019" </w:instrText>
      </w:r>
      <w:r>
        <w:fldChar w:fldCharType="separate"/>
      </w:r>
      <w:r>
        <w:rPr>
          <w:rStyle w:val="27"/>
          <w:rFonts w:eastAsia="宋体" w:cs="Times New Roman"/>
          <w:color w:val="auto"/>
        </w:rPr>
        <w:t>8.4废气监测分析过程中的质量保证和质量控制</w:t>
      </w:r>
      <w:r>
        <w:rPr>
          <w:rFonts w:eastAsia="宋体" w:cs="Times New Roman"/>
        </w:rPr>
        <w:tab/>
      </w:r>
      <w:r>
        <w:rPr>
          <w:rFonts w:eastAsia="宋体" w:cs="Times New Roman"/>
        </w:rPr>
        <w:fldChar w:fldCharType="begin"/>
      </w:r>
      <w:r>
        <w:rPr>
          <w:rFonts w:eastAsia="宋体" w:cs="Times New Roman"/>
        </w:rPr>
        <w:instrText xml:space="preserve"> PAGEREF _Toc61959019 \h </w:instrText>
      </w:r>
      <w:r>
        <w:rPr>
          <w:rFonts w:eastAsia="宋体" w:cs="Times New Roman"/>
        </w:rPr>
        <w:fldChar w:fldCharType="separate"/>
      </w:r>
      <w:r>
        <w:rPr>
          <w:rFonts w:eastAsia="宋体" w:cs="Times New Roman"/>
        </w:rPr>
        <w:t>- 21 -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"_Toc61959020" </w:instrText>
      </w:r>
      <w:r>
        <w:fldChar w:fldCharType="separate"/>
      </w:r>
      <w:r>
        <w:rPr>
          <w:rStyle w:val="27"/>
          <w:rFonts w:eastAsia="宋体" w:cs="Times New Roman"/>
          <w:color w:val="auto"/>
        </w:rPr>
        <w:t>8.5噪声监测分析过程中的质量保证和质量控制</w:t>
      </w:r>
      <w:r>
        <w:rPr>
          <w:rFonts w:eastAsia="宋体" w:cs="Times New Roman"/>
        </w:rPr>
        <w:tab/>
      </w:r>
      <w:r>
        <w:rPr>
          <w:rFonts w:eastAsia="宋体" w:cs="Times New Roman"/>
        </w:rPr>
        <w:fldChar w:fldCharType="begin"/>
      </w:r>
      <w:r>
        <w:rPr>
          <w:rFonts w:eastAsia="宋体" w:cs="Times New Roman"/>
        </w:rPr>
        <w:instrText xml:space="preserve"> PAGEREF _Toc61959020 \h </w:instrText>
      </w:r>
      <w:r>
        <w:rPr>
          <w:rFonts w:eastAsia="宋体" w:cs="Times New Roman"/>
        </w:rPr>
        <w:fldChar w:fldCharType="separate"/>
      </w:r>
      <w:r>
        <w:rPr>
          <w:rFonts w:eastAsia="宋体" w:cs="Times New Roman"/>
        </w:rPr>
        <w:t>- 21 -</w:t>
      </w:r>
      <w:r>
        <w:rPr>
          <w:rFonts w:eastAsia="宋体" w:cs="Times New Roman"/>
        </w:rPr>
        <w:fldChar w:fldCharType="end"/>
      </w:r>
      <w:r>
        <w:rPr>
          <w:rFonts w:eastAsia="宋体" w:cs="Times New Roman"/>
        </w:rPr>
        <w:fldChar w:fldCharType="end"/>
      </w:r>
    </w:p>
    <w:p>
      <w:pPr>
        <w:pStyle w:val="15"/>
        <w:tabs>
          <w:tab w:val="right" w:leader="dot" w:pos="8296"/>
        </w:tabs>
        <w:rPr>
          <w:rFonts w:cs="Times New Roman"/>
          <w:b/>
          <w:bCs/>
          <w:sz w:val="21"/>
          <w:szCs w:val="22"/>
        </w:rPr>
      </w:pPr>
      <w:r>
        <w:fldChar w:fldCharType="begin"/>
      </w:r>
      <w:r>
        <w:instrText xml:space="preserve"> HYPERLINK \l "_Toc61959021" </w:instrText>
      </w:r>
      <w:r>
        <w:fldChar w:fldCharType="separate"/>
      </w:r>
      <w:r>
        <w:rPr>
          <w:rStyle w:val="27"/>
          <w:rFonts w:cs="Times New Roman"/>
          <w:b/>
          <w:bCs/>
          <w:color w:val="auto"/>
        </w:rPr>
        <w:t>9、验收监测结果</w:t>
      </w:r>
      <w:r>
        <w:rPr>
          <w:rFonts w:cs="Times New Roman"/>
          <w:b/>
          <w:bCs/>
        </w:rPr>
        <w:tab/>
      </w:r>
      <w:r>
        <w:rPr>
          <w:rFonts w:cs="Times New Roman"/>
          <w:b/>
          <w:bCs/>
        </w:rPr>
        <w:fldChar w:fldCharType="begin"/>
      </w:r>
      <w:r>
        <w:rPr>
          <w:rFonts w:cs="Times New Roman"/>
          <w:b/>
          <w:bCs/>
        </w:rPr>
        <w:instrText xml:space="preserve"> PAGEREF _Toc61959021 \h </w:instrText>
      </w:r>
      <w:r>
        <w:rPr>
          <w:rFonts w:cs="Times New Roman"/>
          <w:b/>
          <w:bCs/>
        </w:rPr>
        <w:fldChar w:fldCharType="separate"/>
      </w:r>
      <w:r>
        <w:rPr>
          <w:rFonts w:cs="Times New Roman"/>
          <w:b/>
          <w:bCs/>
        </w:rPr>
        <w:t>- 22 -</w:t>
      </w:r>
      <w:r>
        <w:rPr>
          <w:rFonts w:cs="Times New Roman"/>
          <w:b/>
          <w:bCs/>
        </w:rPr>
        <w:fldChar w:fldCharType="end"/>
      </w:r>
      <w:r>
        <w:rPr>
          <w:rFonts w:cs="Times New Roman"/>
          <w:b/>
          <w:bCs/>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"_Toc61959022" </w:instrText>
      </w:r>
      <w:r>
        <w:fldChar w:fldCharType="separate"/>
      </w:r>
      <w:r>
        <w:rPr>
          <w:rStyle w:val="27"/>
          <w:rFonts w:eastAsia="宋体" w:cs="Times New Roman"/>
          <w:color w:val="auto"/>
        </w:rPr>
        <w:t>9.1生产工况</w:t>
      </w:r>
      <w:r>
        <w:rPr>
          <w:rFonts w:eastAsia="宋体" w:cs="Times New Roman"/>
        </w:rPr>
        <w:tab/>
      </w:r>
      <w:r>
        <w:rPr>
          <w:rFonts w:eastAsia="宋体" w:cs="Times New Roman"/>
        </w:rPr>
        <w:fldChar w:fldCharType="begin"/>
      </w:r>
      <w:r>
        <w:rPr>
          <w:rFonts w:eastAsia="宋体" w:cs="Times New Roman"/>
        </w:rPr>
        <w:instrText xml:space="preserve"> PAGEREF _Toc61959022 \h </w:instrText>
      </w:r>
      <w:r>
        <w:rPr>
          <w:rFonts w:eastAsia="宋体" w:cs="Times New Roman"/>
        </w:rPr>
        <w:fldChar w:fldCharType="separate"/>
      </w:r>
      <w:r>
        <w:rPr>
          <w:rFonts w:eastAsia="宋体" w:cs="Times New Roman"/>
        </w:rPr>
        <w:t>- 22 -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"_Toc61959023" </w:instrText>
      </w:r>
      <w:r>
        <w:fldChar w:fldCharType="separate"/>
      </w:r>
      <w:r>
        <w:rPr>
          <w:rStyle w:val="27"/>
          <w:rFonts w:eastAsia="宋体" w:cs="Times New Roman"/>
          <w:color w:val="auto"/>
        </w:rPr>
        <w:t>9.2环境保护设施调试效果</w:t>
      </w:r>
      <w:r>
        <w:rPr>
          <w:rFonts w:eastAsia="宋体" w:cs="Times New Roman"/>
        </w:rPr>
        <w:tab/>
      </w:r>
      <w:r>
        <w:rPr>
          <w:rFonts w:eastAsia="宋体" w:cs="Times New Roman"/>
        </w:rPr>
        <w:fldChar w:fldCharType="begin"/>
      </w:r>
      <w:r>
        <w:rPr>
          <w:rFonts w:eastAsia="宋体" w:cs="Times New Roman"/>
        </w:rPr>
        <w:instrText xml:space="preserve"> PAGEREF _Toc61959023 \h </w:instrText>
      </w:r>
      <w:r>
        <w:rPr>
          <w:rFonts w:eastAsia="宋体" w:cs="Times New Roman"/>
        </w:rPr>
        <w:fldChar w:fldCharType="separate"/>
      </w:r>
      <w:r>
        <w:rPr>
          <w:rFonts w:eastAsia="宋体" w:cs="Times New Roman"/>
        </w:rPr>
        <w:t>- 22 -</w:t>
      </w:r>
      <w:r>
        <w:rPr>
          <w:rFonts w:eastAsia="宋体" w:cs="Times New Roman"/>
        </w:rPr>
        <w:fldChar w:fldCharType="end"/>
      </w:r>
      <w:r>
        <w:rPr>
          <w:rFonts w:eastAsia="宋体" w:cs="Times New Roman"/>
        </w:rPr>
        <w:fldChar w:fldCharType="end"/>
      </w:r>
    </w:p>
    <w:p>
      <w:pPr>
        <w:pStyle w:val="15"/>
        <w:tabs>
          <w:tab w:val="right" w:leader="dot" w:pos="8296"/>
        </w:tabs>
        <w:rPr>
          <w:rFonts w:cs="Times New Roman"/>
          <w:b/>
          <w:bCs/>
          <w:sz w:val="21"/>
          <w:szCs w:val="22"/>
        </w:rPr>
      </w:pPr>
      <w:r>
        <w:fldChar w:fldCharType="begin"/>
      </w:r>
      <w:r>
        <w:instrText xml:space="preserve"> HYPERLINK \l "_Toc61959024" </w:instrText>
      </w:r>
      <w:r>
        <w:fldChar w:fldCharType="separate"/>
      </w:r>
      <w:r>
        <w:rPr>
          <w:rStyle w:val="27"/>
          <w:rFonts w:cs="Times New Roman"/>
          <w:b/>
          <w:bCs/>
          <w:color w:val="auto"/>
        </w:rPr>
        <w:t>10、验收监测结论</w:t>
      </w:r>
      <w:r>
        <w:rPr>
          <w:rFonts w:cs="Times New Roman"/>
          <w:b/>
          <w:bCs/>
        </w:rPr>
        <w:tab/>
      </w:r>
      <w:r>
        <w:rPr>
          <w:rFonts w:cs="Times New Roman"/>
          <w:b/>
          <w:bCs/>
        </w:rPr>
        <w:fldChar w:fldCharType="begin"/>
      </w:r>
      <w:r>
        <w:rPr>
          <w:rFonts w:cs="Times New Roman"/>
          <w:b/>
          <w:bCs/>
        </w:rPr>
        <w:instrText xml:space="preserve"> PAGEREF _Toc61959024 \h </w:instrText>
      </w:r>
      <w:r>
        <w:rPr>
          <w:rFonts w:cs="Times New Roman"/>
          <w:b/>
          <w:bCs/>
        </w:rPr>
        <w:fldChar w:fldCharType="separate"/>
      </w:r>
      <w:r>
        <w:rPr>
          <w:rFonts w:cs="Times New Roman"/>
          <w:b/>
          <w:bCs/>
        </w:rPr>
        <w:t>- 29 -</w:t>
      </w:r>
      <w:r>
        <w:rPr>
          <w:rFonts w:cs="Times New Roman"/>
          <w:b/>
          <w:bCs/>
        </w:rPr>
        <w:fldChar w:fldCharType="end"/>
      </w:r>
      <w:r>
        <w:rPr>
          <w:rFonts w:cs="Times New Roman"/>
          <w:b/>
          <w:bCs/>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"_Toc61959025" </w:instrText>
      </w:r>
      <w:r>
        <w:fldChar w:fldCharType="separate"/>
      </w:r>
      <w:r>
        <w:rPr>
          <w:rStyle w:val="27"/>
          <w:rFonts w:eastAsia="宋体" w:cs="Times New Roman"/>
          <w:color w:val="auto"/>
        </w:rPr>
        <w:t>10.1生产工况</w:t>
      </w:r>
      <w:r>
        <w:rPr>
          <w:rFonts w:eastAsia="宋体" w:cs="Times New Roman"/>
        </w:rPr>
        <w:tab/>
      </w:r>
      <w:r>
        <w:rPr>
          <w:rFonts w:eastAsia="宋体" w:cs="Times New Roman"/>
        </w:rPr>
        <w:fldChar w:fldCharType="begin"/>
      </w:r>
      <w:r>
        <w:rPr>
          <w:rFonts w:eastAsia="宋体" w:cs="Times New Roman"/>
        </w:rPr>
        <w:instrText xml:space="preserve"> PAGEREF _Toc61959025 \h </w:instrText>
      </w:r>
      <w:r>
        <w:rPr>
          <w:rFonts w:eastAsia="宋体" w:cs="Times New Roman"/>
        </w:rPr>
        <w:fldChar w:fldCharType="separate"/>
      </w:r>
      <w:r>
        <w:rPr>
          <w:rFonts w:eastAsia="宋体" w:cs="Times New Roman"/>
        </w:rPr>
        <w:t>- 29 -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"_Toc61959026" </w:instrText>
      </w:r>
      <w:r>
        <w:fldChar w:fldCharType="separate"/>
      </w:r>
      <w:r>
        <w:rPr>
          <w:rStyle w:val="27"/>
          <w:rFonts w:eastAsia="宋体" w:cs="Times New Roman"/>
          <w:color w:val="auto"/>
        </w:rPr>
        <w:t>10.2废水</w:t>
      </w:r>
      <w:r>
        <w:rPr>
          <w:rFonts w:eastAsia="宋体" w:cs="Times New Roman"/>
        </w:rPr>
        <w:tab/>
      </w:r>
      <w:r>
        <w:rPr>
          <w:rFonts w:eastAsia="宋体" w:cs="Times New Roman"/>
        </w:rPr>
        <w:fldChar w:fldCharType="begin"/>
      </w:r>
      <w:r>
        <w:rPr>
          <w:rFonts w:eastAsia="宋体" w:cs="Times New Roman"/>
        </w:rPr>
        <w:instrText xml:space="preserve"> PAGEREF _Toc61959026 \h </w:instrText>
      </w:r>
      <w:r>
        <w:rPr>
          <w:rFonts w:eastAsia="宋体" w:cs="Times New Roman"/>
        </w:rPr>
        <w:fldChar w:fldCharType="separate"/>
      </w:r>
      <w:r>
        <w:rPr>
          <w:rFonts w:eastAsia="宋体" w:cs="Times New Roman"/>
        </w:rPr>
        <w:t>- 29 -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"_Toc61959027" </w:instrText>
      </w:r>
      <w:r>
        <w:fldChar w:fldCharType="separate"/>
      </w:r>
      <w:r>
        <w:rPr>
          <w:rStyle w:val="27"/>
          <w:rFonts w:eastAsia="宋体" w:cs="Times New Roman"/>
          <w:color w:val="auto"/>
        </w:rPr>
        <w:t>10.3废气</w:t>
      </w:r>
      <w:r>
        <w:rPr>
          <w:rFonts w:eastAsia="宋体" w:cs="Times New Roman"/>
        </w:rPr>
        <w:tab/>
      </w:r>
      <w:r>
        <w:rPr>
          <w:rFonts w:eastAsia="宋体" w:cs="Times New Roman"/>
        </w:rPr>
        <w:fldChar w:fldCharType="begin"/>
      </w:r>
      <w:r>
        <w:rPr>
          <w:rFonts w:eastAsia="宋体" w:cs="Times New Roman"/>
        </w:rPr>
        <w:instrText xml:space="preserve"> PAGEREF _Toc61959027 \h </w:instrText>
      </w:r>
      <w:r>
        <w:rPr>
          <w:rFonts w:eastAsia="宋体" w:cs="Times New Roman"/>
        </w:rPr>
        <w:fldChar w:fldCharType="separate"/>
      </w:r>
      <w:r>
        <w:rPr>
          <w:rFonts w:eastAsia="宋体" w:cs="Times New Roman"/>
        </w:rPr>
        <w:t>- 29 -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"_Toc61959028" </w:instrText>
      </w:r>
      <w:r>
        <w:fldChar w:fldCharType="separate"/>
      </w:r>
      <w:r>
        <w:rPr>
          <w:rStyle w:val="27"/>
          <w:rFonts w:eastAsia="宋体" w:cs="Times New Roman"/>
          <w:color w:val="auto"/>
        </w:rPr>
        <w:t>10.4噪声</w:t>
      </w:r>
      <w:r>
        <w:rPr>
          <w:rFonts w:eastAsia="宋体" w:cs="Times New Roman"/>
        </w:rPr>
        <w:tab/>
      </w:r>
      <w:r>
        <w:rPr>
          <w:rFonts w:eastAsia="宋体" w:cs="Times New Roman"/>
        </w:rPr>
        <w:fldChar w:fldCharType="begin"/>
      </w:r>
      <w:r>
        <w:rPr>
          <w:rFonts w:eastAsia="宋体" w:cs="Times New Roman"/>
        </w:rPr>
        <w:instrText xml:space="preserve"> PAGEREF _Toc61959028 \h </w:instrText>
      </w:r>
      <w:r>
        <w:rPr>
          <w:rFonts w:eastAsia="宋体" w:cs="Times New Roman"/>
        </w:rPr>
        <w:fldChar w:fldCharType="separate"/>
      </w:r>
      <w:r>
        <w:rPr>
          <w:rFonts w:eastAsia="宋体" w:cs="Times New Roman"/>
        </w:rPr>
        <w:t>- 29 -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"_Toc61959029" </w:instrText>
      </w:r>
      <w:r>
        <w:fldChar w:fldCharType="separate"/>
      </w:r>
      <w:r>
        <w:rPr>
          <w:rStyle w:val="27"/>
          <w:rFonts w:eastAsia="宋体" w:cs="Times New Roman"/>
          <w:color w:val="auto"/>
        </w:rPr>
        <w:t>10.5固体废弃物</w:t>
      </w:r>
      <w:r>
        <w:rPr>
          <w:rFonts w:eastAsia="宋体" w:cs="Times New Roman"/>
        </w:rPr>
        <w:tab/>
      </w:r>
      <w:r>
        <w:rPr>
          <w:rFonts w:eastAsia="宋体" w:cs="Times New Roman"/>
        </w:rPr>
        <w:fldChar w:fldCharType="begin"/>
      </w:r>
      <w:r>
        <w:rPr>
          <w:rFonts w:eastAsia="宋体" w:cs="Times New Roman"/>
        </w:rPr>
        <w:instrText xml:space="preserve"> PAGEREF _Toc61959029 \h </w:instrText>
      </w:r>
      <w:r>
        <w:rPr>
          <w:rFonts w:eastAsia="宋体" w:cs="Times New Roman"/>
        </w:rPr>
        <w:fldChar w:fldCharType="separate"/>
      </w:r>
      <w:r>
        <w:rPr>
          <w:rFonts w:eastAsia="宋体" w:cs="Times New Roman"/>
        </w:rPr>
        <w:t>- 29 -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"_Toc61959030" </w:instrText>
      </w:r>
      <w:r>
        <w:fldChar w:fldCharType="separate"/>
      </w:r>
      <w:r>
        <w:rPr>
          <w:rStyle w:val="27"/>
          <w:rFonts w:eastAsia="宋体" w:cs="Times New Roman"/>
          <w:color w:val="auto"/>
        </w:rPr>
        <w:t>10.6总量控制</w:t>
      </w:r>
      <w:r>
        <w:rPr>
          <w:rFonts w:eastAsia="宋体" w:cs="Times New Roman"/>
        </w:rPr>
        <w:tab/>
      </w:r>
      <w:r>
        <w:rPr>
          <w:rFonts w:eastAsia="宋体" w:cs="Times New Roman"/>
        </w:rPr>
        <w:fldChar w:fldCharType="begin"/>
      </w:r>
      <w:r>
        <w:rPr>
          <w:rFonts w:eastAsia="宋体" w:cs="Times New Roman"/>
        </w:rPr>
        <w:instrText xml:space="preserve"> PAGEREF _Toc61959030 \h </w:instrText>
      </w:r>
      <w:r>
        <w:rPr>
          <w:rFonts w:eastAsia="宋体" w:cs="Times New Roman"/>
        </w:rPr>
        <w:fldChar w:fldCharType="separate"/>
      </w:r>
      <w:r>
        <w:rPr>
          <w:rFonts w:eastAsia="宋体" w:cs="Times New Roman"/>
        </w:rPr>
        <w:t>- 29 -</w:t>
      </w:r>
      <w:r>
        <w:rPr>
          <w:rFonts w:eastAsia="宋体" w:cs="Times New Roman"/>
        </w:rPr>
        <w:fldChar w:fldCharType="end"/>
      </w:r>
      <w:r>
        <w:rPr>
          <w:rFonts w:eastAsia="宋体" w:cs="Times New Roman"/>
        </w:rPr>
        <w:fldChar w:fldCharType="end"/>
      </w:r>
    </w:p>
    <w:p>
      <w:pPr>
        <w:pStyle w:val="17"/>
        <w:tabs>
          <w:tab w:val="right" w:leader="dot" w:pos="8296"/>
        </w:tabs>
        <w:ind w:firstLine="480"/>
        <w:rPr>
          <w:rFonts w:eastAsia="宋体" w:cs="Times New Roman"/>
          <w:sz w:val="21"/>
          <w:szCs w:val="22"/>
        </w:rPr>
      </w:pPr>
      <w:r>
        <w:fldChar w:fldCharType="begin"/>
      </w:r>
      <w:r>
        <w:instrText xml:space="preserve"> HYPERLINK \l "_Toc61959031" </w:instrText>
      </w:r>
      <w:r>
        <w:fldChar w:fldCharType="separate"/>
      </w:r>
      <w:r>
        <w:rPr>
          <w:rStyle w:val="27"/>
          <w:rFonts w:eastAsia="宋体" w:cs="Times New Roman"/>
          <w:color w:val="auto"/>
        </w:rPr>
        <w:t>10.7结论</w:t>
      </w:r>
      <w:r>
        <w:rPr>
          <w:rFonts w:eastAsia="宋体" w:cs="Times New Roman"/>
        </w:rPr>
        <w:tab/>
      </w:r>
      <w:r>
        <w:rPr>
          <w:rFonts w:eastAsia="宋体" w:cs="Times New Roman"/>
        </w:rPr>
        <w:fldChar w:fldCharType="begin"/>
      </w:r>
      <w:r>
        <w:rPr>
          <w:rFonts w:eastAsia="宋体" w:cs="Times New Roman"/>
        </w:rPr>
        <w:instrText xml:space="preserve"> PAGEREF _Toc61959031 \h </w:instrText>
      </w:r>
      <w:r>
        <w:rPr>
          <w:rFonts w:eastAsia="宋体" w:cs="Times New Roman"/>
        </w:rPr>
        <w:fldChar w:fldCharType="separate"/>
      </w:r>
      <w:r>
        <w:rPr>
          <w:rFonts w:eastAsia="宋体" w:cs="Times New Roman"/>
        </w:rPr>
        <w:t>- 30 -</w:t>
      </w:r>
      <w:r>
        <w:rPr>
          <w:rFonts w:eastAsia="宋体" w:cs="Times New Roman"/>
        </w:rPr>
        <w:fldChar w:fldCharType="end"/>
      </w:r>
      <w:r>
        <w:rPr>
          <w:rFonts w:eastAsia="宋体" w:cs="Times New Roman"/>
        </w:rPr>
        <w:fldChar w:fldCharType="end"/>
      </w:r>
    </w:p>
    <w:p>
      <w:pPr>
        <w:ind w:firstLine="480"/>
        <w:rPr>
          <w:rFonts w:eastAsia="宋体" w:cs="Times New Roman"/>
          <w:bCs/>
          <w:szCs w:val="36"/>
        </w:rPr>
      </w:pPr>
      <w:r>
        <w:rPr>
          <w:rFonts w:eastAsia="宋体" w:cs="Times New Roman"/>
          <w:bCs/>
          <w:szCs w:val="36"/>
        </w:rPr>
        <w:fldChar w:fldCharType="end"/>
      </w:r>
    </w:p>
    <w:p>
      <w:pPr>
        <w:ind w:left="964" w:hanging="964" w:hangingChars="400"/>
        <w:rPr>
          <w:rFonts w:eastAsia="宋体" w:cs="Times New Roman"/>
          <w:b/>
          <w:bCs/>
        </w:rPr>
      </w:pPr>
      <w:r>
        <w:rPr>
          <w:rFonts w:eastAsia="宋体" w:cs="Times New Roman"/>
          <w:b/>
          <w:bCs/>
        </w:rPr>
        <w:t>附件：</w:t>
      </w:r>
    </w:p>
    <w:p>
      <w:pPr>
        <w:ind w:firstLine="480"/>
        <w:rPr>
          <w:rFonts w:eastAsia="宋体" w:cs="Times New Roman"/>
        </w:rPr>
      </w:pPr>
      <w:r>
        <w:rPr>
          <w:rFonts w:eastAsia="宋体" w:cs="Times New Roman"/>
        </w:rPr>
        <w:t>附件1营业执照及变更登记情况</w:t>
      </w:r>
    </w:p>
    <w:p>
      <w:pPr>
        <w:ind w:firstLine="480"/>
        <w:rPr>
          <w:rFonts w:eastAsia="宋体" w:cs="Times New Roman"/>
        </w:rPr>
      </w:pPr>
      <w:r>
        <w:rPr>
          <w:rFonts w:eastAsia="宋体" w:cs="Times New Roman"/>
        </w:rPr>
        <w:t>附件</w:t>
      </w:r>
      <w:r>
        <w:rPr>
          <w:rFonts w:hint="eastAsia" w:eastAsia="宋体" w:cs="Times New Roman"/>
        </w:rPr>
        <w:t>2</w:t>
      </w:r>
      <w:r>
        <w:rPr>
          <w:rFonts w:eastAsia="宋体" w:cs="Times New Roman"/>
        </w:rPr>
        <w:t>环评批复</w:t>
      </w:r>
    </w:p>
    <w:p>
      <w:pPr>
        <w:ind w:firstLine="480"/>
        <w:rPr>
          <w:rFonts w:eastAsia="宋体" w:cs="Times New Roman"/>
        </w:rPr>
      </w:pPr>
      <w:r>
        <w:rPr>
          <w:rFonts w:eastAsia="宋体" w:cs="Times New Roman"/>
        </w:rPr>
        <w:t>附件</w:t>
      </w:r>
      <w:r>
        <w:rPr>
          <w:rFonts w:hint="eastAsia" w:eastAsia="宋体" w:cs="Times New Roman"/>
        </w:rPr>
        <w:t>3</w:t>
      </w:r>
      <w:r>
        <w:rPr>
          <w:rFonts w:eastAsia="宋体" w:cs="Times New Roman"/>
        </w:rPr>
        <w:t>排污许可登记回执</w:t>
      </w:r>
    </w:p>
    <w:p>
      <w:pPr>
        <w:ind w:firstLine="480"/>
        <w:rPr>
          <w:rFonts w:eastAsia="宋体" w:cs="Times New Roman"/>
        </w:rPr>
      </w:pPr>
      <w:r>
        <w:rPr>
          <w:rFonts w:eastAsia="宋体" w:cs="Times New Roman"/>
        </w:rPr>
        <w:t>附件</w:t>
      </w:r>
      <w:r>
        <w:rPr>
          <w:rFonts w:hint="eastAsia" w:eastAsia="宋体" w:cs="Times New Roman"/>
        </w:rPr>
        <w:t>4</w:t>
      </w:r>
      <w:r>
        <w:rPr>
          <w:rFonts w:eastAsia="宋体" w:cs="Times New Roman"/>
        </w:rPr>
        <w:t>公司用水情况</w:t>
      </w:r>
    </w:p>
    <w:p>
      <w:pPr>
        <w:ind w:firstLine="480"/>
        <w:rPr>
          <w:rFonts w:eastAsia="宋体" w:cs="Times New Roman"/>
        </w:rPr>
      </w:pPr>
      <w:r>
        <w:rPr>
          <w:rFonts w:eastAsia="宋体" w:cs="Times New Roman"/>
        </w:rPr>
        <w:t>附件</w:t>
      </w:r>
      <w:r>
        <w:rPr>
          <w:rFonts w:hint="eastAsia" w:eastAsia="宋体" w:cs="Times New Roman"/>
        </w:rPr>
        <w:t>5</w:t>
      </w:r>
      <w:r>
        <w:rPr>
          <w:rFonts w:eastAsia="宋体" w:cs="Times New Roman"/>
        </w:rPr>
        <w:t>检测报告</w:t>
      </w:r>
    </w:p>
    <w:p>
      <w:pPr>
        <w:ind w:firstLine="480"/>
        <w:rPr>
          <w:rFonts w:eastAsia="宋体" w:cs="Times New Roman"/>
        </w:rPr>
      </w:pPr>
      <w:r>
        <w:rPr>
          <w:rFonts w:eastAsia="宋体" w:cs="Times New Roman"/>
        </w:rPr>
        <w:t>附件</w:t>
      </w:r>
      <w:r>
        <w:rPr>
          <w:rFonts w:hint="eastAsia" w:eastAsia="宋体" w:cs="Times New Roman"/>
        </w:rPr>
        <w:t>6</w:t>
      </w:r>
      <w:r>
        <w:rPr>
          <w:rFonts w:eastAsia="宋体" w:cs="Times New Roman"/>
        </w:rPr>
        <w:t>生产日报表</w:t>
      </w:r>
    </w:p>
    <w:p>
      <w:pPr>
        <w:ind w:firstLine="480"/>
        <w:rPr>
          <w:rFonts w:eastAsia="宋体" w:cs="Times New Roman"/>
        </w:rPr>
      </w:pPr>
      <w:r>
        <w:rPr>
          <w:rFonts w:eastAsia="宋体" w:cs="Times New Roman"/>
        </w:rPr>
        <w:t>附件</w:t>
      </w:r>
      <w:r>
        <w:rPr>
          <w:rFonts w:hint="eastAsia" w:eastAsia="宋体" w:cs="Times New Roman"/>
        </w:rPr>
        <w:t>7</w:t>
      </w:r>
      <w:r>
        <w:rPr>
          <w:rFonts w:eastAsia="宋体" w:cs="Times New Roman"/>
        </w:rPr>
        <w:t>生产设备一览表</w:t>
      </w:r>
    </w:p>
    <w:p>
      <w:pPr>
        <w:ind w:firstLine="480"/>
        <w:rPr>
          <w:rFonts w:eastAsia="宋体" w:cs="Times New Roman"/>
        </w:rPr>
      </w:pPr>
      <w:r>
        <w:rPr>
          <w:rFonts w:eastAsia="宋体" w:cs="Times New Roman"/>
        </w:rPr>
        <w:t>附件</w:t>
      </w:r>
      <w:r>
        <w:rPr>
          <w:rFonts w:hint="eastAsia" w:eastAsia="宋体" w:cs="Times New Roman"/>
        </w:rPr>
        <w:t>8</w:t>
      </w:r>
      <w:r>
        <w:rPr>
          <w:rFonts w:eastAsia="宋体" w:cs="Times New Roman"/>
        </w:rPr>
        <w:t>原辅材料消耗统计表</w:t>
      </w:r>
    </w:p>
    <w:p>
      <w:pPr>
        <w:ind w:firstLine="480"/>
        <w:rPr>
          <w:rFonts w:eastAsia="宋体" w:cs="Times New Roman"/>
        </w:rPr>
      </w:pPr>
      <w:r>
        <w:rPr>
          <w:rFonts w:eastAsia="宋体" w:cs="Times New Roman"/>
        </w:rPr>
        <w:t>附件</w:t>
      </w:r>
      <w:r>
        <w:rPr>
          <w:rFonts w:hint="eastAsia" w:eastAsia="宋体" w:cs="Times New Roman"/>
        </w:rPr>
        <w:t>9</w:t>
      </w:r>
      <w:r>
        <w:rPr>
          <w:rFonts w:eastAsia="宋体" w:cs="Times New Roman"/>
        </w:rPr>
        <w:t>环境管理规章制度</w:t>
      </w:r>
    </w:p>
    <w:p>
      <w:pPr>
        <w:ind w:firstLine="480"/>
        <w:rPr>
          <w:rFonts w:eastAsia="宋体" w:cs="Times New Roman"/>
        </w:rPr>
      </w:pPr>
    </w:p>
    <w:p>
      <w:pPr>
        <w:pStyle w:val="4"/>
        <w:numPr>
          <w:ilvl w:val="0"/>
          <w:numId w:val="1"/>
        </w:numPr>
        <w:rPr>
          <w:rFonts w:cs="Times New Roman"/>
          <w:sz w:val="24"/>
          <w:szCs w:val="24"/>
        </w:rPr>
        <w:sectPr>
          <w:headerReference r:id="rId18" w:type="first"/>
          <w:footerReference r:id="rId20" w:type="first"/>
          <w:footerReference r:id="rId19" w:type="default"/>
          <w:pgSz w:w="11906" w:h="16838"/>
          <w:pgMar w:top="1418" w:right="1701" w:bottom="1418" w:left="1701" w:header="851" w:footer="992" w:gutter="0"/>
          <w:pgNumType w:fmt="upperRoman" w:start="1"/>
          <w:cols w:space="425" w:num="1"/>
          <w:titlePg/>
          <w:docGrid w:type="lines" w:linePitch="312" w:charSpace="0"/>
        </w:sectPr>
      </w:pPr>
      <w:bookmarkStart w:id="1" w:name="_Toc515273902"/>
    </w:p>
    <w:bookmarkEnd w:id="1"/>
    <w:p>
      <w:pPr>
        <w:pStyle w:val="4"/>
        <w:rPr>
          <w:rFonts w:cs="Times New Roman"/>
        </w:rPr>
      </w:pPr>
      <w:bookmarkStart w:id="2" w:name="_Toc61958985"/>
      <w:bookmarkStart w:id="3" w:name="_Toc61958986"/>
      <w:r>
        <w:rPr>
          <w:rFonts w:cs="Times New Roman"/>
        </w:rPr>
        <w:t>1验收项目概况</w:t>
      </w:r>
      <w:bookmarkEnd w:id="2"/>
    </w:p>
    <w:p>
      <w:pPr>
        <w:pStyle w:val="2"/>
        <w:spacing w:after="0"/>
        <w:ind w:left="0" w:leftChars="0" w:firstLine="480"/>
        <w:rPr>
          <w:rFonts w:eastAsia="宋体" w:cs="Times New Roman"/>
        </w:rPr>
      </w:pPr>
      <w:bookmarkStart w:id="4" w:name="_Hlk68174410"/>
      <w:r>
        <w:rPr>
          <w:rFonts w:eastAsia="宋体" w:cs="Times New Roman"/>
        </w:rPr>
        <w:t>浙江允源毛纺股份有限公司成立于2006年9月，位于桐乡市濮院镇工业园区南巿河东侧、320国道南侧（现桐乡市濮院镇濮院大道3715号），主要从事毛条、棉条、化纤条的生产销售。企业原名为桐乡市允源毛纺原料有限公司，于2008年8月变更名称为浙江允源毛纺原料有限公司，于2019年9月变更名称为浙江允源毛纺股份有限公司。</w:t>
      </w:r>
    </w:p>
    <w:p>
      <w:pPr>
        <w:pStyle w:val="2"/>
        <w:spacing w:after="0"/>
        <w:ind w:left="0" w:leftChars="0" w:firstLine="480"/>
        <w:rPr>
          <w:rFonts w:eastAsia="宋体" w:cs="Times New Roman"/>
        </w:rPr>
      </w:pPr>
      <w:r>
        <w:rPr>
          <w:rFonts w:eastAsia="宋体" w:cs="Times New Roman"/>
        </w:rPr>
        <w:t>2018年，我公司在濮院镇濮院大道3715号新征用地面积4538.49平方米。计划投资4971.8万元，新建建筑面积15800平方米，购置精梳机2</w:t>
      </w:r>
      <w:r>
        <w:rPr>
          <w:rFonts w:hint="eastAsia" w:eastAsia="宋体" w:cs="Times New Roman"/>
        </w:rPr>
        <w:t>4</w:t>
      </w:r>
      <w:r>
        <w:rPr>
          <w:rFonts w:eastAsia="宋体" w:cs="Times New Roman"/>
        </w:rPr>
        <w:t>台、针梳机26台、梳毛机8台、和毛机2台等设备，形成年产2000吨毛条的生产能力。该项目我公司于2018年7月委托浙江爱闻格环保科技有限公司编制了《浙江允源毛纺原料有限公司年产2000吨毛条新建项目环境影响报告表》，原桐乡市环境保护局于2018年8月10日以“桐环建[2018]0138号”通过该项目环保审查。。</w:t>
      </w:r>
    </w:p>
    <w:bookmarkEnd w:id="4"/>
    <w:p>
      <w:pPr>
        <w:ind w:firstLine="480"/>
        <w:rPr>
          <w:rFonts w:eastAsia="宋体" w:cs="Times New Roman"/>
        </w:rPr>
      </w:pPr>
      <w:bookmarkStart w:id="5" w:name="_Hlk68175976"/>
      <w:bookmarkStart w:id="6" w:name="_Hlk82000667"/>
      <w:r>
        <w:rPr>
          <w:rFonts w:eastAsia="宋体" w:cs="Times New Roman"/>
        </w:rPr>
        <w:t>本项目开工时间为2018年10月，于</w:t>
      </w:r>
      <w:bookmarkStart w:id="7" w:name="_Hlk68174821"/>
      <w:r>
        <w:rPr>
          <w:rFonts w:eastAsia="宋体" w:cs="Times New Roman"/>
        </w:rPr>
        <w:t>2021年6月完成对主体工程及配套环保设备工程的建设并投入试运行</w:t>
      </w:r>
      <w:bookmarkEnd w:id="7"/>
      <w:r>
        <w:rPr>
          <w:rFonts w:eastAsia="宋体" w:cs="Times New Roman"/>
        </w:rPr>
        <w:t>，于2021年7月</w:t>
      </w:r>
      <w:bookmarkStart w:id="8" w:name="_Hlk68174545"/>
      <w:r>
        <w:rPr>
          <w:rFonts w:eastAsia="宋体" w:cs="Times New Roman"/>
        </w:rPr>
        <w:t>正式投入运行并达到相应生产工况，环保手续齐全，主要生产设施和环保设施运行正常，无重大变动，已具备环境保护竣工验收条件，故公司决定启动建设项目环境保护整体竣工验收工作。</w:t>
      </w:r>
      <w:bookmarkEnd w:id="8"/>
    </w:p>
    <w:bookmarkEnd w:id="5"/>
    <w:p>
      <w:pPr>
        <w:ind w:firstLine="480"/>
        <w:rPr>
          <w:rFonts w:eastAsia="宋体" w:cs="Times New Roman"/>
        </w:rPr>
      </w:pPr>
      <w:r>
        <w:rPr>
          <w:rFonts w:eastAsia="宋体" w:cs="Times New Roman"/>
        </w:rPr>
        <w:t>根据《建设项目竣工环境保护验收暂行办法》（国环规环评[2017]4号）和</w:t>
      </w:r>
      <w:r>
        <w:rPr>
          <w:rFonts w:eastAsia="宋体" w:cs="Times New Roman"/>
          <w:bCs/>
        </w:rPr>
        <w:t>《浙江省建设项目环境保</w:t>
      </w:r>
      <w:r>
        <w:rPr>
          <w:rFonts w:eastAsia="宋体" w:cs="Times New Roman"/>
        </w:rPr>
        <w:t>护管理办法（2021年修正）》，我公司分别于2021年10月24日、10月25日委托浙江爱迪信检测技术有限公司对本项目废水、废气、噪声进行现场验收监测。另外，我公司对该项目“三同时”执行情况、环境保护设施建设、环境保护管理、绿化等方面进行了检查，在综合分析现场监测数据和相关资料的基础上，编写了《浙江允源毛纺股份有限公司年产2000吨毛条新建项目竣工环境保护验收监测报告》。</w:t>
      </w:r>
    </w:p>
    <w:bookmarkEnd w:id="6"/>
    <w:p>
      <w:pPr>
        <w:pStyle w:val="2"/>
        <w:ind w:left="480" w:firstLine="480"/>
        <w:rPr>
          <w:rFonts w:eastAsia="宋体" w:cs="Times New Roman"/>
        </w:rPr>
      </w:pPr>
    </w:p>
    <w:p>
      <w:pPr>
        <w:pStyle w:val="2"/>
        <w:ind w:left="480" w:firstLine="480"/>
        <w:rPr>
          <w:rFonts w:eastAsia="宋体" w:cs="Times New Roman"/>
        </w:rPr>
        <w:sectPr>
          <w:headerReference r:id="rId21" w:type="first"/>
          <w:footerReference r:id="rId22" w:type="first"/>
          <w:pgSz w:w="11906" w:h="16838"/>
          <w:pgMar w:top="1418" w:right="1701" w:bottom="1418" w:left="1701" w:header="851" w:footer="992" w:gutter="0"/>
          <w:pgNumType w:fmt="numberInDash" w:start="1"/>
          <w:cols w:space="425" w:num="1"/>
          <w:titlePg/>
          <w:docGrid w:type="lines" w:linePitch="312" w:charSpace="0"/>
        </w:sectPr>
      </w:pPr>
    </w:p>
    <w:p>
      <w:pPr>
        <w:pStyle w:val="4"/>
        <w:rPr>
          <w:rFonts w:cs="Times New Roman"/>
        </w:rPr>
      </w:pPr>
      <w:r>
        <w:rPr>
          <w:rFonts w:cs="Times New Roman"/>
        </w:rPr>
        <w:t>2验收依据</w:t>
      </w:r>
      <w:bookmarkEnd w:id="3"/>
    </w:p>
    <w:p>
      <w:pPr>
        <w:ind w:firstLine="480"/>
        <w:rPr>
          <w:rFonts w:eastAsia="宋体" w:cs="Times New Roman"/>
        </w:rPr>
      </w:pPr>
      <w:r>
        <w:rPr>
          <w:rFonts w:eastAsia="宋体" w:cs="Times New Roman"/>
        </w:rPr>
        <w:t>1、</w:t>
      </w:r>
      <w:r>
        <w:rPr>
          <w:rFonts w:hint="eastAsia" w:eastAsia="宋体" w:cs="Times New Roman"/>
          <w:lang w:eastAsia="zh-CN"/>
        </w:rPr>
        <w:t>《</w:t>
      </w:r>
      <w:r>
        <w:rPr>
          <w:rFonts w:eastAsia="宋体" w:cs="Times New Roman"/>
        </w:rPr>
        <w:t>中华人民共和国环境保护法》</w:t>
      </w:r>
      <w:r>
        <w:rPr>
          <w:rFonts w:eastAsia="宋体" w:cs="Times New Roman"/>
          <w:lang w:val="zh-CN"/>
        </w:rPr>
        <w:t>（2015年1月1日起施行）；</w:t>
      </w:r>
    </w:p>
    <w:p>
      <w:pPr>
        <w:ind w:firstLine="480"/>
        <w:rPr>
          <w:rFonts w:eastAsia="宋体" w:cs="Times New Roman"/>
          <w:lang w:val="zh-CN"/>
        </w:rPr>
      </w:pPr>
      <w:r>
        <w:rPr>
          <w:rFonts w:eastAsia="宋体" w:cs="Times New Roman"/>
        </w:rPr>
        <w:t>2、</w:t>
      </w:r>
      <w:r>
        <w:rPr>
          <w:rFonts w:eastAsia="宋体" w:cs="Times New Roman"/>
          <w:lang w:val="zh-CN"/>
        </w:rPr>
        <w:t>《中华人民共和国大气污染防治法》（2018年10月26日</w:t>
      </w:r>
      <w:r>
        <w:rPr>
          <w:rFonts w:eastAsia="宋体" w:cs="Times New Roman"/>
        </w:rPr>
        <w:t>修订并</w:t>
      </w:r>
      <w:r>
        <w:rPr>
          <w:rFonts w:eastAsia="宋体" w:cs="Times New Roman"/>
          <w:lang w:val="zh-CN"/>
        </w:rPr>
        <w:t>施行）；</w:t>
      </w:r>
    </w:p>
    <w:p>
      <w:pPr>
        <w:ind w:firstLine="480"/>
        <w:rPr>
          <w:rFonts w:eastAsia="宋体" w:cs="Times New Roman"/>
          <w:lang w:val="zh-CN"/>
        </w:rPr>
      </w:pPr>
      <w:r>
        <w:rPr>
          <w:rFonts w:eastAsia="宋体" w:cs="Times New Roman"/>
          <w:lang w:val="zh-CN"/>
        </w:rPr>
        <w:t>3、《中华人民共和国水污染防治法》（2018年1月1日起施行）；</w:t>
      </w:r>
    </w:p>
    <w:p>
      <w:pPr>
        <w:ind w:firstLine="480"/>
        <w:rPr>
          <w:rFonts w:eastAsia="宋体" w:cs="Times New Roman"/>
        </w:rPr>
      </w:pPr>
      <w:r>
        <w:rPr>
          <w:rFonts w:eastAsia="宋体" w:cs="Times New Roman"/>
          <w:lang w:val="zh-CN"/>
        </w:rPr>
        <w:t>4、《中华人民共和国环境噪声</w:t>
      </w:r>
      <w:r>
        <w:rPr>
          <w:rFonts w:eastAsia="宋体" w:cs="Times New Roman"/>
        </w:rPr>
        <w:t>污染</w:t>
      </w:r>
      <w:r>
        <w:rPr>
          <w:rFonts w:eastAsia="宋体" w:cs="Times New Roman"/>
          <w:lang w:val="zh-CN"/>
        </w:rPr>
        <w:t>防治法》（2018年12月29日</w:t>
      </w:r>
      <w:r>
        <w:rPr>
          <w:rFonts w:eastAsia="宋体" w:cs="Times New Roman"/>
        </w:rPr>
        <w:t>修正并</w:t>
      </w:r>
      <w:r>
        <w:rPr>
          <w:rFonts w:eastAsia="宋体" w:cs="Times New Roman"/>
          <w:lang w:val="zh-CN"/>
        </w:rPr>
        <w:t>施行）；</w:t>
      </w:r>
    </w:p>
    <w:p>
      <w:pPr>
        <w:ind w:firstLine="480"/>
        <w:rPr>
          <w:rFonts w:eastAsia="宋体" w:cs="Times New Roman"/>
          <w:lang w:val="zh-CN"/>
        </w:rPr>
      </w:pPr>
      <w:r>
        <w:rPr>
          <w:rFonts w:eastAsia="宋体" w:cs="Times New Roman"/>
        </w:rPr>
        <w:t>5、《中华人民共和国固体废物污染环境防治法》（2020</w:t>
      </w:r>
      <w:r>
        <w:rPr>
          <w:rFonts w:eastAsia="宋体" w:cs="Times New Roman"/>
          <w:lang w:val="zh-CN"/>
        </w:rPr>
        <w:t>年</w:t>
      </w:r>
      <w:r>
        <w:rPr>
          <w:rFonts w:eastAsia="宋体" w:cs="Times New Roman"/>
        </w:rPr>
        <w:t>9</w:t>
      </w:r>
      <w:r>
        <w:rPr>
          <w:rFonts w:eastAsia="宋体" w:cs="Times New Roman"/>
          <w:lang w:val="zh-CN"/>
        </w:rPr>
        <w:t>月</w:t>
      </w:r>
      <w:r>
        <w:rPr>
          <w:rFonts w:eastAsia="宋体" w:cs="Times New Roman"/>
        </w:rPr>
        <w:t>1</w:t>
      </w:r>
      <w:r>
        <w:rPr>
          <w:rFonts w:eastAsia="宋体" w:cs="Times New Roman"/>
          <w:lang w:val="zh-CN"/>
        </w:rPr>
        <w:t>日</w:t>
      </w:r>
      <w:r>
        <w:rPr>
          <w:rFonts w:eastAsia="宋体" w:cs="Times New Roman"/>
        </w:rPr>
        <w:t>起施行）；</w:t>
      </w:r>
    </w:p>
    <w:p>
      <w:pPr>
        <w:ind w:firstLine="480"/>
        <w:rPr>
          <w:rFonts w:eastAsia="宋体" w:cs="Times New Roman"/>
        </w:rPr>
      </w:pPr>
      <w:r>
        <w:rPr>
          <w:rFonts w:eastAsia="宋体" w:cs="Times New Roman"/>
        </w:rPr>
        <w:t>6、《建设项目环境保护管理条例》（国务院令第682号修改，2017年10月1日起施行）；</w:t>
      </w:r>
    </w:p>
    <w:p>
      <w:pPr>
        <w:ind w:firstLine="480"/>
        <w:rPr>
          <w:rFonts w:eastAsia="宋体" w:cs="Times New Roman"/>
        </w:rPr>
      </w:pPr>
      <w:r>
        <w:rPr>
          <w:rFonts w:eastAsia="宋体" w:cs="Times New Roman"/>
        </w:rPr>
        <w:t>7、《建设项目竣工环境保护验收暂行办法》（环境保护部国环规环评[2017]4号，2017年11月20日发布并实施）；</w:t>
      </w:r>
    </w:p>
    <w:p>
      <w:pPr>
        <w:ind w:firstLine="480"/>
        <w:rPr>
          <w:rFonts w:eastAsia="宋体" w:cs="Times New Roman"/>
        </w:rPr>
      </w:pPr>
      <w:r>
        <w:rPr>
          <w:rFonts w:eastAsia="宋体" w:cs="Times New Roman"/>
        </w:rPr>
        <w:t>8、《关于公开征求&lt;关于规范建设单位自主开展建设项目竣工环境保护验收的通知（征求意见稿）&gt;意见的通知》（环境保护部环办环评函[2017]1235号）；</w:t>
      </w:r>
    </w:p>
    <w:p>
      <w:pPr>
        <w:ind w:firstLine="480"/>
        <w:rPr>
          <w:rFonts w:eastAsia="宋体" w:cs="Times New Roman"/>
        </w:rPr>
      </w:pPr>
      <w:r>
        <w:rPr>
          <w:rFonts w:eastAsia="宋体" w:cs="Times New Roman"/>
        </w:rPr>
        <w:t>9、《污染影响类建设项目重大变动清单（试行）》（生态环境部环办环评函[2020]688号，2020年12月13日印发）；</w:t>
      </w:r>
    </w:p>
    <w:p>
      <w:pPr>
        <w:ind w:firstLine="480"/>
        <w:rPr>
          <w:rFonts w:eastAsia="宋体" w:cs="Times New Roman"/>
        </w:rPr>
      </w:pPr>
      <w:r>
        <w:rPr>
          <w:rFonts w:eastAsia="宋体" w:cs="Times New Roman"/>
        </w:rPr>
        <w:t>10、《建设项目竣工环境保护验收技术指南 污染影响类》（生态环境部公告2018年第9号，2018年5月16日印发）；</w:t>
      </w:r>
    </w:p>
    <w:p>
      <w:pPr>
        <w:ind w:firstLine="480"/>
        <w:rPr>
          <w:rFonts w:eastAsia="宋体" w:cs="Times New Roman"/>
        </w:rPr>
      </w:pPr>
      <w:r>
        <w:rPr>
          <w:rFonts w:eastAsia="宋体" w:cs="Times New Roman"/>
        </w:rPr>
        <w:t>11、《浙江省建设项目环境保护管理办法》（浙江省人民政府令第388号，2021年2月10日起施行）；</w:t>
      </w:r>
    </w:p>
    <w:p>
      <w:pPr>
        <w:ind w:firstLine="480"/>
        <w:rPr>
          <w:rFonts w:eastAsia="宋体" w:cs="Times New Roman"/>
        </w:rPr>
      </w:pPr>
      <w:r>
        <w:rPr>
          <w:rFonts w:eastAsia="宋体" w:cs="Times New Roman"/>
        </w:rPr>
        <w:t>12、《污水综合排放标准》（GB8978-1996）；</w:t>
      </w:r>
    </w:p>
    <w:p>
      <w:pPr>
        <w:ind w:firstLine="480"/>
        <w:rPr>
          <w:rFonts w:eastAsia="宋体" w:cs="Times New Roman"/>
        </w:rPr>
      </w:pPr>
      <w:r>
        <w:rPr>
          <w:rFonts w:eastAsia="宋体" w:cs="Times New Roman"/>
        </w:rPr>
        <w:t>13、《工业企业废水氮、磷污染物间接排放限值》（DB33/887-2013）；</w:t>
      </w:r>
    </w:p>
    <w:p>
      <w:pPr>
        <w:ind w:firstLine="480"/>
        <w:rPr>
          <w:rFonts w:eastAsia="宋体" w:cs="Times New Roman"/>
        </w:rPr>
      </w:pPr>
      <w:r>
        <w:rPr>
          <w:rFonts w:eastAsia="宋体" w:cs="Times New Roman"/>
        </w:rPr>
        <w:t>14、《大气污染物综合排放标准》（GB16297-1996）；</w:t>
      </w:r>
    </w:p>
    <w:p>
      <w:pPr>
        <w:ind w:firstLine="480"/>
        <w:rPr>
          <w:rFonts w:eastAsia="宋体" w:cs="Times New Roman"/>
        </w:rPr>
      </w:pPr>
      <w:r>
        <w:rPr>
          <w:rFonts w:eastAsia="宋体" w:cs="Times New Roman"/>
        </w:rPr>
        <w:t>15、《工业企业厂界环境噪声排放标准》（GB12348-2008）；</w:t>
      </w:r>
    </w:p>
    <w:p>
      <w:pPr>
        <w:ind w:firstLine="480"/>
        <w:rPr>
          <w:rFonts w:eastAsia="宋体" w:cs="Times New Roman"/>
        </w:rPr>
      </w:pPr>
      <w:r>
        <w:rPr>
          <w:rFonts w:eastAsia="宋体" w:cs="Times New Roman"/>
        </w:rPr>
        <w:t>16、《声环境质量标准》（GB3096-20087）；</w:t>
      </w:r>
    </w:p>
    <w:p>
      <w:pPr>
        <w:ind w:firstLine="480"/>
        <w:rPr>
          <w:rFonts w:eastAsia="宋体" w:cs="Times New Roman"/>
        </w:rPr>
      </w:pPr>
      <w:r>
        <w:rPr>
          <w:rFonts w:eastAsia="宋体" w:cs="Times New Roman"/>
        </w:rPr>
        <w:t>17、《一般工业固体废物贮存和填埋污染控制标准》（GB18599-2020）；</w:t>
      </w:r>
    </w:p>
    <w:p>
      <w:pPr>
        <w:ind w:firstLine="480"/>
        <w:rPr>
          <w:rFonts w:eastAsia="宋体" w:cs="Times New Roman"/>
        </w:rPr>
      </w:pPr>
      <w:r>
        <w:rPr>
          <w:rFonts w:eastAsia="宋体" w:cs="Times New Roman"/>
        </w:rPr>
        <w:t>18、浙江爱闻格环保科技有限公司编制的《浙江允源毛纺</w:t>
      </w:r>
      <w:r>
        <w:rPr>
          <w:rFonts w:hint="eastAsia" w:eastAsia="宋体" w:cs="Times New Roman"/>
        </w:rPr>
        <w:t>原料</w:t>
      </w:r>
      <w:r>
        <w:rPr>
          <w:rFonts w:eastAsia="宋体" w:cs="Times New Roman"/>
        </w:rPr>
        <w:t>有限公司年产2000吨毛条新建项目环境影响报告表》（2018年7月）；</w:t>
      </w:r>
    </w:p>
    <w:p>
      <w:pPr>
        <w:ind w:firstLine="480"/>
      </w:pPr>
      <w:r>
        <w:rPr>
          <w:rFonts w:eastAsia="宋体" w:cs="Times New Roman"/>
        </w:rPr>
        <w:t>19、桐环建[2018]0138号“关于《浙江允源毛纺</w:t>
      </w:r>
      <w:r>
        <w:rPr>
          <w:rFonts w:hint="eastAsia" w:eastAsia="宋体" w:cs="Times New Roman"/>
        </w:rPr>
        <w:t>原料</w:t>
      </w:r>
      <w:r>
        <w:rPr>
          <w:rFonts w:eastAsia="宋体" w:cs="Times New Roman"/>
        </w:rPr>
        <w:t>有限公司年产2000吨毛条新建项目环境影响报告表》的审查意见”，2018年8月10日；</w:t>
      </w:r>
    </w:p>
    <w:p>
      <w:pPr>
        <w:ind w:firstLine="480"/>
        <w:rPr>
          <w:rFonts w:eastAsia="宋体" w:cs="Times New Roman"/>
        </w:rPr>
      </w:pPr>
      <w:r>
        <w:rPr>
          <w:rFonts w:eastAsia="宋体" w:cs="Times New Roman"/>
        </w:rPr>
        <w:t>20、浙江爱迪信检测技术有限公司出具的《浙江允源毛纺股份有限公司验收检测报告》（报告编号：ZJADT20211012002）。</w:t>
      </w:r>
    </w:p>
    <w:p>
      <w:pPr>
        <w:pStyle w:val="2"/>
        <w:ind w:left="480" w:firstLine="480"/>
        <w:rPr>
          <w:rFonts w:eastAsia="宋体" w:cs="Times New Roman"/>
        </w:rPr>
      </w:pPr>
    </w:p>
    <w:p>
      <w:pPr>
        <w:pStyle w:val="4"/>
        <w:rPr>
          <w:rFonts w:cs="Times New Roman"/>
        </w:rPr>
        <w:sectPr>
          <w:headerReference r:id="rId23" w:type="first"/>
          <w:footerReference r:id="rId24" w:type="first"/>
          <w:pgSz w:w="11906" w:h="16838"/>
          <w:pgMar w:top="1418" w:right="1701" w:bottom="1418" w:left="1701" w:header="851" w:footer="992" w:gutter="0"/>
          <w:pgNumType w:fmt="numberInDash"/>
          <w:cols w:space="425" w:num="1"/>
          <w:titlePg/>
          <w:docGrid w:type="lines" w:linePitch="312" w:charSpace="0"/>
        </w:sectPr>
      </w:pPr>
      <w:bookmarkStart w:id="9" w:name="_Toc515273904"/>
      <w:bookmarkStart w:id="10" w:name="_Toc61958987"/>
    </w:p>
    <w:p>
      <w:pPr>
        <w:pStyle w:val="4"/>
        <w:rPr>
          <w:rFonts w:cs="Times New Roman"/>
        </w:rPr>
      </w:pPr>
      <w:r>
        <w:rPr>
          <w:rFonts w:cs="Times New Roman"/>
        </w:rPr>
        <w:t>3工程建设情况</w:t>
      </w:r>
      <w:bookmarkEnd w:id="9"/>
      <w:bookmarkEnd w:id="10"/>
    </w:p>
    <w:p>
      <w:pPr>
        <w:pStyle w:val="5"/>
        <w:rPr>
          <w:rFonts w:cs="Times New Roman"/>
          <w:szCs w:val="24"/>
        </w:rPr>
      </w:pPr>
      <w:bookmarkStart w:id="11" w:name="_Toc61958988"/>
      <w:bookmarkStart w:id="12" w:name="_Toc515273905"/>
      <w:r>
        <w:rPr>
          <w:rFonts w:cs="Times New Roman"/>
          <w:szCs w:val="24"/>
        </w:rPr>
        <w:t>3.1地理位置及平面布置</w:t>
      </w:r>
      <w:bookmarkEnd w:id="11"/>
      <w:bookmarkEnd w:id="12"/>
    </w:p>
    <w:p>
      <w:pPr>
        <w:ind w:firstLine="480"/>
        <w:rPr>
          <w:rFonts w:eastAsia="宋体" w:cs="Times New Roman"/>
        </w:rPr>
      </w:pPr>
      <w:r>
        <w:rPr>
          <w:rFonts w:eastAsia="宋体" w:cs="Times New Roman"/>
        </w:rPr>
        <w:t>本项目位于桐乡市濮院镇濮院大道3715号，项目厂区周围环境概况如下：</w:t>
      </w:r>
    </w:p>
    <w:p>
      <w:pPr>
        <w:ind w:firstLine="480"/>
        <w:rPr>
          <w:rFonts w:eastAsia="宋体" w:cs="Times New Roman"/>
        </w:rPr>
      </w:pPr>
      <w:r>
        <w:rPr>
          <w:rFonts w:eastAsia="宋体" w:cs="Times New Roman"/>
        </w:rPr>
        <w:t>东侧：为道路，再往东为濮院毛纺织原料市场及空地；</w:t>
      </w:r>
    </w:p>
    <w:p>
      <w:pPr>
        <w:ind w:firstLine="480"/>
        <w:rPr>
          <w:rFonts w:eastAsia="宋体" w:cs="Times New Roman"/>
        </w:rPr>
      </w:pPr>
      <w:r>
        <w:rPr>
          <w:rFonts w:eastAsia="宋体" w:cs="Times New Roman"/>
        </w:rPr>
        <w:t>南侧：为空地及在建道路</w:t>
      </w:r>
      <w:r>
        <w:rPr>
          <w:rFonts w:hint="eastAsia" w:eastAsia="宋体" w:cs="Times New Roman"/>
        </w:rPr>
        <w:t>；</w:t>
      </w:r>
    </w:p>
    <w:p>
      <w:pPr>
        <w:ind w:firstLine="480"/>
        <w:rPr>
          <w:rFonts w:eastAsia="宋体" w:cs="Times New Roman"/>
        </w:rPr>
      </w:pPr>
      <w:r>
        <w:rPr>
          <w:rFonts w:eastAsia="宋体" w:cs="Times New Roman"/>
        </w:rPr>
        <w:t>西侧：为南市河，再往西为濮院羊毛衫市场；</w:t>
      </w:r>
    </w:p>
    <w:p>
      <w:pPr>
        <w:ind w:firstLine="480"/>
        <w:rPr>
          <w:rFonts w:eastAsia="宋体" w:cs="Times New Roman"/>
        </w:rPr>
      </w:pPr>
      <w:r>
        <w:rPr>
          <w:rFonts w:eastAsia="宋体" w:cs="Times New Roman"/>
        </w:rPr>
        <w:t>北侧：为毛条厂，再往北</w:t>
      </w:r>
      <w:r>
        <w:rPr>
          <w:rFonts w:hint="eastAsia" w:eastAsia="宋体" w:cs="Times New Roman"/>
        </w:rPr>
        <w:t>距厂界</w:t>
      </w:r>
      <w:r>
        <w:rPr>
          <w:rFonts w:eastAsia="宋体" w:cs="Times New Roman"/>
        </w:rPr>
        <w:t>约80m处为沿路商住用房，约130m处为</w:t>
      </w:r>
      <w:r>
        <w:rPr>
          <w:rFonts w:hint="eastAsia" w:eastAsia="宋体" w:cs="Times New Roman"/>
        </w:rPr>
        <w:t>濮院大道；</w:t>
      </w:r>
    </w:p>
    <w:p>
      <w:pPr>
        <w:ind w:firstLine="480"/>
        <w:rPr>
          <w:rFonts w:eastAsia="宋体" w:cs="Times New Roman"/>
        </w:rPr>
      </w:pPr>
      <w:r>
        <w:rPr>
          <w:rFonts w:hint="eastAsia" w:eastAsia="宋体" w:cs="Times New Roman"/>
        </w:rPr>
        <w:t>东南侧：距厂界约190m处为凤桥村农居点。</w:t>
      </w:r>
    </w:p>
    <w:p>
      <w:pPr>
        <w:ind w:firstLine="480"/>
        <w:rPr>
          <w:rFonts w:eastAsia="宋体" w:cs="Times New Roman"/>
        </w:rPr>
      </w:pPr>
      <w:r>
        <w:rPr>
          <w:rFonts w:eastAsia="宋体" w:cs="Times New Roman"/>
        </w:rPr>
        <w:t>本项目地理位置见图3-1，周围环境概况见图3-2，厂区平面布置图见图3-3。</w:t>
      </w:r>
    </w:p>
    <w:p>
      <w:pPr>
        <w:pStyle w:val="2"/>
        <w:ind w:left="0" w:leftChars="0" w:firstLine="0" w:firstLineChars="0"/>
        <w:jc w:val="center"/>
        <w:rPr>
          <w:rFonts w:eastAsia="宋体" w:cs="Times New Roman"/>
        </w:rPr>
      </w:pPr>
      <w:r>
        <w:rPr>
          <w:rFonts w:eastAsia="宋体" w:cs="Times New Roman"/>
        </w:rPr>
        <mc:AlternateContent>
          <mc:Choice Requires="wps">
            <w:drawing>
              <wp:anchor distT="0" distB="0" distL="114300" distR="114300" simplePos="0" relativeHeight="251659264" behindDoc="0" locked="0" layoutInCell="1" allowOverlap="1">
                <wp:simplePos x="0" y="0"/>
                <wp:positionH relativeFrom="column">
                  <wp:posOffset>3399155</wp:posOffset>
                </wp:positionH>
                <wp:positionV relativeFrom="paragraph">
                  <wp:posOffset>946785</wp:posOffset>
                </wp:positionV>
                <wp:extent cx="904875" cy="285750"/>
                <wp:effectExtent l="8255" t="7620" r="20320" b="335280"/>
                <wp:wrapNone/>
                <wp:docPr id="3" name="对话气泡: 矩形 3"/>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6421"/>
                            <a:gd name="adj2" fmla="val 153777"/>
                          </a:avLst>
                        </a:prstGeom>
                        <a:solidFill>
                          <a:srgbClr val="CCFFCC"/>
                        </a:solidFill>
                        <a:ln w="15875">
                          <a:solidFill>
                            <a:srgbClr val="000000"/>
                          </a:solidFill>
                          <a:miter lim="800000"/>
                        </a:ln>
                      </wps:spPr>
                      <wps:txbx>
                        <w:txbxContent>
                          <w:p>
                            <w:pPr>
                              <w:spacing w:line="240" w:lineRule="auto"/>
                              <w:ind w:firstLine="0" w:firstLineChars="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 id="对话气泡: 矩形 3" o:spid="_x0000_s1026" o:spt="61" type="#_x0000_t61" style="position:absolute;left:0pt;margin-left:267.65pt;margin-top:74.55pt;height:22.5pt;width:71.25pt;z-index:251659264;mso-width-relative:page;mso-height-relative:page;" fillcolor="#CCFFCC" filled="t" stroked="t" coordsize="21600,21600" o:gfxdata="UEsDBAoAAAAAAIdO4kAAAAAAAAAAAAAAAAAEAAAAZHJzL1BLAwQUAAAACACHTuJAM3XfN9YAAAAL&#10;AQAADwAAAGRycy9kb3ducmV2LnhtbE2PzU7DMBCE70i8g7VI3Khj+p/G6aFQrhUtD7CJXScQr6PY&#10;/Xt7lhM97syn2ZliffWdONshtoE0qFEGwlIdTEtOw9dh+7IAEROSwS6Q1XCzEdbl40OBuQkX+rTn&#10;fXKCQyjmqKFJqc+ljHVjPcZR6C2xdwyDx8Tn4KQZ8MLhvpOvWTaTHlviDw32dtPY+md/8hq+d0ri&#10;u6ed2x7e5EdVb4aFu2n9/KSyFYhkr+kfhr/6XB1K7lSFE5koOg3T8XTMKBuTpQLBxGw+5zEVK8uJ&#10;AlkW8n5D+QtQSwMEFAAAAAgAh07iQBZkNAV4AgAA5QQAAA4AAABkcnMvZTJvRG9jLnhtbK1UzW7U&#10;MBC+I/EOlu802b/uEjVbVakWIRWoKDyA13YSg/+wvZstz8EVIbhxKhInDjxOC4/BxMmWbUGoB3KI&#10;ZuKZb+abz5ODw42SaM2dF0bneLCXYsQ1NUzoKscvXywezDDygWhGpNE8x+fc48P5/XsHjc340NRG&#10;Mu4QgGifNTbHdQg2SxJPa66I3zOWazgsjVMkgOuqhDnSALqSyTBN95PGOGadodx7+HrcHeIe0d0F&#10;0JSloPzY0JXiOnSojksSgJKvhfV4HrstS07Ds7L0PCCZY2Aa4huKgL1s38n8gGSVI7YWtG+B3KWF&#10;W5wUERqKXkMdk0DQyok/oJSgznhThj1qVNIRiRMBFoP01mzOamJ55AKj9vZ66P7/wdKn61OHBMvx&#10;CCNNFAh+efHt58X7qy/vrr5+zNCPD58vv39Co3ZSjfUZJJzZU9dy9fbE0NceaVPURFf8yDnT1Jww&#10;6G/Qxic3ElrHQypaNk8Mg0JkFUwc2qZ0qgWEcaBN1Ob8Whu+CYjCx4fpeDadYEThaDibTCdRu4Rk&#10;22TrfHjEjUKtkeOGs4o/B/0LIqVZhViIrE98iDKxnixhrwYYlUqC6msi0f54GFsHJXdChrshg8lo&#10;Op1GfiTrEaGPbf04GSMFWwgpo+OqZSEdAvgcF8ViURR9st8Nkxo1MLdJy/LfGGl8/oahRIDdlELl&#10;eLYbJHUvRjv/TsewWW56SZeGnYMsznTbAf8GMGrj3mLUwGbk2L9ZEccxko81SLs/BmxYpehM0nHr&#10;uN2TZXTGI9h2jIimAJXjsDWL0K3fyjpR1VBpEOlqcwTXoRRhe2+6rvq+4faDdWO9dv0Y9fvvNP8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M3XfN9YAAAALAQAADwAAAAAAAAABACAAAAAiAAAAZHJz&#10;L2Rvd25yZXYueG1sUEsBAhQAFAAAAAgAh07iQBZkNAV4AgAA5QQAAA4AAAAAAAAAAQAgAAAAJQEA&#10;AGRycy9lMm9Eb2MueG1sUEsFBgAAAAAGAAYAWQEAAA8GAAAAAA==&#10;" adj="12187,44016">
                <v:fill on="t" focussize="0,0"/>
                <v:stroke weight="1.25pt" color="#000000" miterlimit="8" joinstyle="miter"/>
                <v:imagedata o:title=""/>
                <o:lock v:ext="edit" aspectratio="f"/>
                <v:textbox inset="1.8mm,1.4mm,1.8mm,1.2mm">
                  <w:txbxContent>
                    <w:p>
                      <w:pPr>
                        <w:spacing w:line="240" w:lineRule="auto"/>
                        <w:ind w:firstLine="0" w:firstLineChars="0"/>
                        <w:jc w:val="center"/>
                        <w:textAlignment w:val="top"/>
                        <w:rPr>
                          <w:b/>
                          <w:color w:val="FF0000"/>
                        </w:rPr>
                      </w:pPr>
                      <w:r>
                        <w:rPr>
                          <w:rFonts w:hint="eastAsia"/>
                          <w:b/>
                          <w:color w:val="FF0000"/>
                        </w:rPr>
                        <w:t>项目位置</w:t>
                      </w:r>
                    </w:p>
                  </w:txbxContent>
                </v:textbox>
              </v:shape>
            </w:pict>
          </mc:Fallback>
        </mc:AlternateContent>
      </w:r>
      <w:r>
        <w:rPr>
          <w:rFonts w:eastAsia="宋体" w:cs="Times New Roman"/>
        </w:rPr>
        <w:drawing>
          <wp:inline distT="0" distB="0" distL="114300" distR="114300">
            <wp:extent cx="5400040" cy="3689350"/>
            <wp:effectExtent l="0" t="0" r="1016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9" cstate="screen"/>
                    <a:stretch>
                      <a:fillRect/>
                    </a:stretch>
                  </pic:blipFill>
                  <pic:spPr>
                    <a:xfrm>
                      <a:off x="0" y="0"/>
                      <a:ext cx="5400040" cy="3689350"/>
                    </a:xfrm>
                    <a:prstGeom prst="rect">
                      <a:avLst/>
                    </a:prstGeom>
                  </pic:spPr>
                </pic:pic>
              </a:graphicData>
            </a:graphic>
          </wp:inline>
        </w:drawing>
      </w:r>
    </w:p>
    <w:p>
      <w:pPr>
        <w:pStyle w:val="37"/>
        <w:spacing w:before="62" w:after="31"/>
        <w:rPr>
          <w:rFonts w:eastAsia="宋体"/>
          <w:color w:val="auto"/>
        </w:rPr>
      </w:pPr>
      <w:r>
        <w:rPr>
          <w:rFonts w:eastAsia="宋体"/>
          <w:color w:val="auto"/>
        </w:rPr>
        <w:t>图3-1  本项目地理位置图</w:t>
      </w:r>
    </w:p>
    <w:p>
      <w:pPr>
        <w:pStyle w:val="2"/>
        <w:ind w:left="480" w:firstLine="480"/>
        <w:rPr>
          <w:rFonts w:eastAsia="宋体" w:cs="Times New Roman"/>
        </w:rPr>
      </w:pPr>
    </w:p>
    <w:p>
      <w:pPr>
        <w:pStyle w:val="2"/>
        <w:ind w:left="480" w:firstLine="480"/>
        <w:rPr>
          <w:rFonts w:eastAsia="宋体" w:cs="Times New Roman"/>
        </w:rPr>
      </w:pPr>
    </w:p>
    <w:p>
      <w:pPr>
        <w:pStyle w:val="2"/>
        <w:ind w:left="480" w:firstLine="480"/>
        <w:rPr>
          <w:rFonts w:eastAsia="宋体" w:cs="Times New Roman"/>
        </w:rPr>
      </w:pPr>
    </w:p>
    <w:p>
      <w:pPr>
        <w:pStyle w:val="2"/>
        <w:ind w:left="480" w:firstLine="480"/>
        <w:rPr>
          <w:rFonts w:eastAsia="宋体" w:cs="Times New Roman"/>
        </w:rPr>
      </w:pPr>
    </w:p>
    <w:p>
      <w:pPr>
        <w:pStyle w:val="2"/>
        <w:spacing w:after="0" w:line="240" w:lineRule="auto"/>
        <w:ind w:left="0" w:leftChars="0" w:firstLine="0" w:firstLineChars="0"/>
        <w:jc w:val="center"/>
        <w:rPr>
          <w:rFonts w:eastAsia="宋体" w:cs="Times New Roman"/>
        </w:rPr>
      </w:pPr>
      <w:r>
        <w:drawing>
          <wp:inline distT="0" distB="0" distL="114300" distR="114300">
            <wp:extent cx="5267325" cy="39624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a:stretch>
                      <a:fillRect/>
                    </a:stretch>
                  </pic:blipFill>
                  <pic:spPr>
                    <a:xfrm>
                      <a:off x="0" y="0"/>
                      <a:ext cx="5267325" cy="3962400"/>
                    </a:xfrm>
                    <a:prstGeom prst="rect">
                      <a:avLst/>
                    </a:prstGeom>
                    <a:noFill/>
                    <a:ln>
                      <a:noFill/>
                    </a:ln>
                  </pic:spPr>
                </pic:pic>
              </a:graphicData>
            </a:graphic>
          </wp:inline>
        </w:drawing>
      </w:r>
    </w:p>
    <w:p>
      <w:pPr>
        <w:spacing w:before="156" w:beforeLines="50" w:after="156" w:afterLines="50" w:line="240" w:lineRule="auto"/>
        <w:ind w:firstLine="0" w:firstLineChars="0"/>
        <w:jc w:val="center"/>
        <w:rPr>
          <w:rFonts w:eastAsia="宋体" w:cs="Times New Roman"/>
          <w:b/>
          <w:sz w:val="21"/>
          <w:szCs w:val="32"/>
        </w:rPr>
      </w:pPr>
      <w:r>
        <w:rPr>
          <w:rFonts w:eastAsia="宋体" w:cs="Times New Roman"/>
          <w:b/>
          <w:sz w:val="21"/>
          <w:szCs w:val="32"/>
        </w:rPr>
        <w:t>图3-2  项目周围环境概况图</w:t>
      </w:r>
    </w:p>
    <w:p>
      <w:pPr>
        <w:pStyle w:val="42"/>
      </w:pPr>
      <w:r>
        <w:drawing>
          <wp:inline distT="0" distB="0" distL="114300" distR="114300">
            <wp:extent cx="5398770" cy="3745865"/>
            <wp:effectExtent l="0" t="0" r="11430" b="317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1"/>
                    <a:stretch>
                      <a:fillRect/>
                    </a:stretch>
                  </pic:blipFill>
                  <pic:spPr>
                    <a:xfrm>
                      <a:off x="0" y="0"/>
                      <a:ext cx="5398770" cy="3745865"/>
                    </a:xfrm>
                    <a:prstGeom prst="rect">
                      <a:avLst/>
                    </a:prstGeom>
                    <a:noFill/>
                    <a:ln>
                      <a:noFill/>
                    </a:ln>
                  </pic:spPr>
                </pic:pic>
              </a:graphicData>
            </a:graphic>
          </wp:inline>
        </w:drawing>
      </w:r>
    </w:p>
    <w:p>
      <w:pPr>
        <w:pStyle w:val="31"/>
        <w:spacing w:before="312" w:beforeLines="100" w:after="31"/>
        <w:rPr>
          <w:rFonts w:eastAsia="宋体"/>
        </w:rPr>
      </w:pPr>
      <w:r>
        <w:rPr>
          <w:rFonts w:eastAsia="宋体"/>
        </w:rPr>
        <w:t>图3-3  项目厂区平面布置图</w:t>
      </w:r>
    </w:p>
    <w:p>
      <w:pPr>
        <w:pStyle w:val="5"/>
        <w:rPr>
          <w:rFonts w:cs="Times New Roman"/>
          <w:szCs w:val="24"/>
        </w:rPr>
      </w:pPr>
      <w:bookmarkStart w:id="13" w:name="_Toc61958989"/>
      <w:bookmarkStart w:id="14" w:name="_Toc515273906"/>
      <w:r>
        <w:rPr>
          <w:rFonts w:cs="Times New Roman"/>
          <w:szCs w:val="24"/>
        </w:rPr>
        <w:t>3.2建设内容</w:t>
      </w:r>
      <w:bookmarkEnd w:id="13"/>
      <w:bookmarkEnd w:id="14"/>
    </w:p>
    <w:p>
      <w:pPr>
        <w:ind w:firstLine="480"/>
        <w:rPr>
          <w:rFonts w:eastAsia="宋体" w:cs="Times New Roman"/>
        </w:rPr>
      </w:pPr>
      <w:r>
        <w:rPr>
          <w:rFonts w:eastAsia="宋体" w:cs="Times New Roman"/>
        </w:rPr>
        <w:t>本项目为新建项目，位于桐乡市濮院镇</w:t>
      </w:r>
      <w:r>
        <w:rPr>
          <w:rFonts w:hint="eastAsia" w:eastAsia="宋体" w:cs="Times New Roman"/>
        </w:rPr>
        <w:t>濮院大道3715号</w:t>
      </w:r>
      <w:r>
        <w:rPr>
          <w:rFonts w:eastAsia="宋体" w:cs="Times New Roman"/>
        </w:rPr>
        <w:t>，新征用地面积4538.49平方米，新增建筑面积</w:t>
      </w:r>
      <w:r>
        <w:rPr>
          <w:rFonts w:hint="eastAsia" w:eastAsia="宋体" w:cs="Times New Roman"/>
        </w:rPr>
        <w:t>15800</w:t>
      </w:r>
      <w:r>
        <w:rPr>
          <w:rFonts w:eastAsia="宋体" w:cs="Times New Roman"/>
        </w:rPr>
        <w:t>平方米，实施年产2000吨毛条新建项目。本项目计划投资4971.8万元，其中环保投资25万元，实际投资</w:t>
      </w:r>
      <w:r>
        <w:rPr>
          <w:rFonts w:hint="eastAsia" w:eastAsia="宋体" w:cs="Times New Roman"/>
        </w:rPr>
        <w:t>4860</w:t>
      </w:r>
      <w:r>
        <w:rPr>
          <w:rFonts w:eastAsia="宋体" w:cs="Times New Roman"/>
        </w:rPr>
        <w:t>万元，其中环保投资2</w:t>
      </w:r>
      <w:r>
        <w:rPr>
          <w:rFonts w:hint="eastAsia" w:eastAsia="宋体" w:cs="Times New Roman"/>
        </w:rPr>
        <w:t>5</w:t>
      </w:r>
      <w:r>
        <w:rPr>
          <w:rFonts w:eastAsia="宋体" w:cs="Times New Roman"/>
        </w:rPr>
        <w:t>万元（环保投资占比为0.</w:t>
      </w:r>
      <w:r>
        <w:rPr>
          <w:rFonts w:hint="eastAsia" w:eastAsia="宋体" w:cs="Times New Roman"/>
        </w:rPr>
        <w:t>51</w:t>
      </w:r>
      <w:r>
        <w:rPr>
          <w:rFonts w:eastAsia="宋体" w:cs="Times New Roman"/>
        </w:rPr>
        <w:t>%）。</w:t>
      </w:r>
    </w:p>
    <w:p>
      <w:pPr>
        <w:ind w:firstLine="480"/>
        <w:rPr>
          <w:rFonts w:eastAsia="宋体" w:cs="Times New Roman"/>
        </w:rPr>
      </w:pPr>
      <w:r>
        <w:rPr>
          <w:rFonts w:eastAsia="宋体" w:cs="Times New Roman"/>
        </w:rPr>
        <w:t>本项目审批生产规模为：年产2000吨毛条，实际建设内容与环评及批复建设内容基本一致，具体见表3-1。</w:t>
      </w:r>
    </w:p>
    <w:p>
      <w:pPr>
        <w:pStyle w:val="37"/>
        <w:spacing w:before="62" w:after="31"/>
        <w:rPr>
          <w:rFonts w:eastAsia="宋体"/>
          <w:color w:val="auto"/>
        </w:rPr>
      </w:pPr>
      <w:r>
        <w:rPr>
          <w:rFonts w:eastAsia="宋体"/>
          <w:color w:val="auto"/>
        </w:rPr>
        <w:t>表3-1  环评及批复建设内容与实际建设内容对照一览表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71"/>
        <w:gridCol w:w="2328"/>
        <w:gridCol w:w="2328"/>
        <w:gridCol w:w="1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6" w:type="pct"/>
            <w:vAlign w:val="center"/>
          </w:tcPr>
          <w:p>
            <w:pPr>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项目名称</w:t>
            </w:r>
          </w:p>
        </w:tc>
        <w:tc>
          <w:tcPr>
            <w:tcW w:w="1334" w:type="pct"/>
            <w:vAlign w:val="center"/>
          </w:tcPr>
          <w:p>
            <w:pPr>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环评及批复生产规模</w:t>
            </w:r>
          </w:p>
        </w:tc>
        <w:tc>
          <w:tcPr>
            <w:tcW w:w="1334" w:type="pct"/>
            <w:vAlign w:val="center"/>
          </w:tcPr>
          <w:p>
            <w:pPr>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实际</w:t>
            </w:r>
            <w:r>
              <w:rPr>
                <w:rFonts w:hint="eastAsia" w:eastAsia="宋体" w:cs="Times New Roman"/>
                <w:b/>
                <w:bCs/>
                <w:kern w:val="0"/>
                <w:sz w:val="21"/>
                <w:szCs w:val="21"/>
              </w:rPr>
              <w:t>建设</w:t>
            </w:r>
            <w:r>
              <w:rPr>
                <w:rFonts w:eastAsia="宋体" w:cs="Times New Roman"/>
                <w:b/>
                <w:bCs/>
                <w:kern w:val="0"/>
                <w:sz w:val="21"/>
                <w:szCs w:val="21"/>
              </w:rPr>
              <w:t>生产规模</w:t>
            </w:r>
          </w:p>
        </w:tc>
        <w:tc>
          <w:tcPr>
            <w:tcW w:w="913" w:type="pct"/>
            <w:vAlign w:val="center"/>
          </w:tcPr>
          <w:p>
            <w:pPr>
              <w:spacing w:line="240" w:lineRule="auto"/>
              <w:ind w:firstLine="0" w:firstLineChars="0"/>
              <w:jc w:val="center"/>
              <w:rPr>
                <w:rFonts w:eastAsia="宋体" w:cs="Times New Roman"/>
                <w:b/>
                <w:bCs/>
                <w:kern w:val="0"/>
                <w:sz w:val="21"/>
                <w:szCs w:val="21"/>
              </w:rPr>
            </w:pPr>
            <w:r>
              <w:rPr>
                <w:rFonts w:eastAsia="宋体" w:cs="Times New Roman"/>
                <w:b/>
                <w:bCs/>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6" w:type="pct"/>
            <w:vAlign w:val="center"/>
          </w:tcPr>
          <w:p>
            <w:pPr>
              <w:spacing w:line="240" w:lineRule="auto"/>
              <w:ind w:firstLine="0" w:firstLineChars="0"/>
              <w:jc w:val="center"/>
              <w:rPr>
                <w:rFonts w:eastAsia="宋体" w:cs="Times New Roman"/>
                <w:kern w:val="0"/>
                <w:sz w:val="21"/>
                <w:szCs w:val="21"/>
              </w:rPr>
            </w:pPr>
            <w:r>
              <w:rPr>
                <w:rFonts w:eastAsia="宋体" w:cs="Times New Roman"/>
                <w:kern w:val="0"/>
                <w:sz w:val="21"/>
                <w:szCs w:val="21"/>
              </w:rPr>
              <w:t>浙江允源毛纺原料有限公司年产2000吨毛条新建项目</w:t>
            </w:r>
          </w:p>
        </w:tc>
        <w:tc>
          <w:tcPr>
            <w:tcW w:w="1334" w:type="pct"/>
            <w:vAlign w:val="center"/>
          </w:tcPr>
          <w:p>
            <w:pPr>
              <w:spacing w:line="240" w:lineRule="auto"/>
              <w:ind w:firstLine="0" w:firstLineChars="0"/>
              <w:jc w:val="center"/>
              <w:rPr>
                <w:rFonts w:eastAsia="宋体" w:cs="Times New Roman"/>
                <w:kern w:val="0"/>
                <w:sz w:val="21"/>
                <w:szCs w:val="21"/>
              </w:rPr>
            </w:pPr>
            <w:r>
              <w:rPr>
                <w:rFonts w:eastAsia="宋体" w:cs="Times New Roman"/>
                <w:kern w:val="0"/>
                <w:sz w:val="21"/>
                <w:szCs w:val="21"/>
              </w:rPr>
              <w:t>年产2000吨毛条</w:t>
            </w:r>
          </w:p>
        </w:tc>
        <w:tc>
          <w:tcPr>
            <w:tcW w:w="1334" w:type="pct"/>
            <w:vAlign w:val="center"/>
          </w:tcPr>
          <w:p>
            <w:pPr>
              <w:spacing w:line="240" w:lineRule="auto"/>
              <w:ind w:firstLine="0" w:firstLineChars="0"/>
              <w:jc w:val="center"/>
              <w:rPr>
                <w:rFonts w:eastAsia="宋体" w:cs="Times New Roman"/>
                <w:kern w:val="0"/>
                <w:sz w:val="21"/>
                <w:szCs w:val="21"/>
              </w:rPr>
            </w:pPr>
            <w:r>
              <w:rPr>
                <w:rFonts w:eastAsia="宋体" w:cs="Times New Roman"/>
                <w:kern w:val="0"/>
                <w:sz w:val="21"/>
                <w:szCs w:val="21"/>
              </w:rPr>
              <w:t>年产20</w:t>
            </w:r>
            <w:r>
              <w:rPr>
                <w:rFonts w:hint="eastAsia" w:eastAsia="宋体" w:cs="Times New Roman"/>
                <w:kern w:val="0"/>
                <w:sz w:val="21"/>
                <w:szCs w:val="21"/>
              </w:rPr>
              <w:t>00</w:t>
            </w:r>
            <w:r>
              <w:rPr>
                <w:rFonts w:eastAsia="宋体" w:cs="Times New Roman"/>
                <w:kern w:val="0"/>
                <w:sz w:val="21"/>
                <w:szCs w:val="21"/>
              </w:rPr>
              <w:t>吨毛条</w:t>
            </w:r>
          </w:p>
        </w:tc>
        <w:tc>
          <w:tcPr>
            <w:tcW w:w="913" w:type="pct"/>
            <w:vAlign w:val="center"/>
          </w:tcPr>
          <w:p>
            <w:pPr>
              <w:spacing w:line="240" w:lineRule="auto"/>
              <w:ind w:firstLine="0" w:firstLineChars="0"/>
              <w:jc w:val="center"/>
              <w:rPr>
                <w:rFonts w:eastAsia="宋体" w:cs="Times New Roman"/>
                <w:kern w:val="0"/>
                <w:sz w:val="21"/>
                <w:szCs w:val="21"/>
              </w:rPr>
            </w:pPr>
            <w:r>
              <w:rPr>
                <w:rFonts w:eastAsia="宋体" w:cs="Times New Roman"/>
                <w:kern w:val="0"/>
                <w:sz w:val="21"/>
                <w:szCs w:val="21"/>
              </w:rPr>
              <w:t>本次验收项目</w:t>
            </w:r>
          </w:p>
        </w:tc>
      </w:tr>
    </w:tbl>
    <w:p>
      <w:pPr>
        <w:spacing w:before="156" w:beforeLines="50"/>
        <w:ind w:firstLine="480"/>
        <w:rPr>
          <w:rFonts w:eastAsia="宋体" w:cs="Times New Roman"/>
        </w:rPr>
      </w:pPr>
      <w:r>
        <w:rPr>
          <w:rFonts w:eastAsia="宋体" w:cs="Times New Roman"/>
        </w:rPr>
        <w:t>本项目环评报告中设备数量及实际设备清单对照见表3-2。</w:t>
      </w:r>
    </w:p>
    <w:p>
      <w:pPr>
        <w:pStyle w:val="37"/>
        <w:spacing w:before="62" w:after="31"/>
        <w:rPr>
          <w:rFonts w:eastAsia="宋体"/>
          <w:color w:val="auto"/>
        </w:rPr>
      </w:pPr>
      <w:r>
        <w:rPr>
          <w:rFonts w:eastAsia="宋体"/>
          <w:color w:val="auto"/>
        </w:rPr>
        <w:t>表3-2  环评设备及实际设备清单对照一览表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721"/>
        <w:gridCol w:w="896"/>
        <w:gridCol w:w="1557"/>
        <w:gridCol w:w="1402"/>
        <w:gridCol w:w="1189"/>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序号</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设备名称</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单位</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本项目环评审批数量</w:t>
            </w:r>
          </w:p>
        </w:tc>
        <w:tc>
          <w:tcPr>
            <w:tcW w:w="803"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目前实际数量</w:t>
            </w:r>
          </w:p>
        </w:tc>
        <w:tc>
          <w:tcPr>
            <w:tcW w:w="681"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变化情况</w:t>
            </w:r>
          </w:p>
        </w:tc>
        <w:tc>
          <w:tcPr>
            <w:tcW w:w="681"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pPr>
            <w:r>
              <w:t>1</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pPr>
            <w:r>
              <w:t>精梳机</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pPr>
            <w:r>
              <w:t>台</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pPr>
            <w:r>
              <w:t>24</w:t>
            </w:r>
          </w:p>
        </w:tc>
        <w:tc>
          <w:tcPr>
            <w:tcW w:w="803" w:type="pct"/>
            <w:vAlign w:val="center"/>
          </w:tcPr>
          <w:p>
            <w:pPr>
              <w:pStyle w:val="42"/>
            </w:pPr>
            <w:r>
              <w:t>29</w:t>
            </w:r>
          </w:p>
        </w:tc>
        <w:tc>
          <w:tcPr>
            <w:tcW w:w="681" w:type="pct"/>
            <w:vAlign w:val="center"/>
          </w:tcPr>
          <w:p>
            <w:pPr>
              <w:pStyle w:val="42"/>
            </w:pPr>
            <w:r>
              <w:t>+5</w:t>
            </w:r>
          </w:p>
        </w:tc>
        <w:tc>
          <w:tcPr>
            <w:tcW w:w="681" w:type="pct"/>
            <w:vMerge w:val="restart"/>
            <w:vAlign w:val="center"/>
          </w:tcPr>
          <w:p>
            <w:pPr>
              <w:pStyle w:val="42"/>
            </w:pPr>
            <w:r>
              <w:t>本次验收项目相关设备情况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pPr>
            <w:r>
              <w:t>2</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pPr>
            <w:r>
              <w:t>针梳机</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pPr>
            <w:r>
              <w:t>台</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pPr>
            <w:r>
              <w:t>26</w:t>
            </w:r>
          </w:p>
        </w:tc>
        <w:tc>
          <w:tcPr>
            <w:tcW w:w="803" w:type="pct"/>
            <w:vAlign w:val="center"/>
          </w:tcPr>
          <w:p>
            <w:pPr>
              <w:pStyle w:val="42"/>
            </w:pPr>
            <w:r>
              <w:t>26</w:t>
            </w:r>
          </w:p>
        </w:tc>
        <w:tc>
          <w:tcPr>
            <w:tcW w:w="681" w:type="pct"/>
            <w:vAlign w:val="center"/>
          </w:tcPr>
          <w:p>
            <w:pPr>
              <w:pStyle w:val="42"/>
            </w:pPr>
            <w:r>
              <w:t>0</w:t>
            </w:r>
          </w:p>
        </w:tc>
        <w:tc>
          <w:tcPr>
            <w:tcW w:w="681" w:type="pct"/>
            <w:vMerge w:val="continue"/>
          </w:tcPr>
          <w:p>
            <w:pPr>
              <w:pStyle w:val="4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pPr>
            <w:r>
              <w:t>3</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pPr>
            <w:r>
              <w:t>梳毛机</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pPr>
            <w:r>
              <w:t>台</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pPr>
            <w:r>
              <w:t>8</w:t>
            </w:r>
          </w:p>
        </w:tc>
        <w:tc>
          <w:tcPr>
            <w:tcW w:w="803" w:type="pct"/>
            <w:vAlign w:val="center"/>
          </w:tcPr>
          <w:p>
            <w:pPr>
              <w:pStyle w:val="42"/>
            </w:pPr>
            <w:r>
              <w:t>8</w:t>
            </w:r>
          </w:p>
        </w:tc>
        <w:tc>
          <w:tcPr>
            <w:tcW w:w="681" w:type="pct"/>
            <w:vAlign w:val="center"/>
          </w:tcPr>
          <w:p>
            <w:pPr>
              <w:pStyle w:val="42"/>
            </w:pPr>
            <w:r>
              <w:t>0</w:t>
            </w:r>
          </w:p>
        </w:tc>
        <w:tc>
          <w:tcPr>
            <w:tcW w:w="681" w:type="pct"/>
            <w:vMerge w:val="continue"/>
          </w:tcPr>
          <w:p>
            <w:pPr>
              <w:pStyle w:val="4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pPr>
            <w:r>
              <w:t>4</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pPr>
            <w:r>
              <w:t>和毛机</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pPr>
            <w:r>
              <w:t>台</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pPr>
            <w:r>
              <w:t>2</w:t>
            </w:r>
          </w:p>
        </w:tc>
        <w:tc>
          <w:tcPr>
            <w:tcW w:w="803" w:type="pct"/>
            <w:vAlign w:val="center"/>
          </w:tcPr>
          <w:p>
            <w:pPr>
              <w:pStyle w:val="42"/>
            </w:pPr>
            <w:r>
              <w:t>2</w:t>
            </w:r>
          </w:p>
        </w:tc>
        <w:tc>
          <w:tcPr>
            <w:tcW w:w="681" w:type="pct"/>
            <w:vAlign w:val="center"/>
          </w:tcPr>
          <w:p>
            <w:pPr>
              <w:pStyle w:val="42"/>
            </w:pPr>
            <w:r>
              <w:t>0</w:t>
            </w:r>
          </w:p>
        </w:tc>
        <w:tc>
          <w:tcPr>
            <w:tcW w:w="681" w:type="pct"/>
            <w:vMerge w:val="continue"/>
          </w:tcPr>
          <w:p>
            <w:pPr>
              <w:pStyle w:val="42"/>
            </w:pPr>
          </w:p>
        </w:tc>
      </w:tr>
    </w:tbl>
    <w:p>
      <w:pPr>
        <w:spacing w:before="156" w:beforeLines="50"/>
        <w:ind w:firstLine="480"/>
        <w:rPr>
          <w:rFonts w:eastAsia="宋体" w:cs="Times New Roman"/>
        </w:rPr>
      </w:pPr>
      <w:bookmarkStart w:id="15" w:name="_Toc61958990"/>
      <w:bookmarkStart w:id="16" w:name="_Toc515273907"/>
      <w:r>
        <w:rPr>
          <w:rFonts w:eastAsia="宋体" w:cs="Times New Roman"/>
        </w:rPr>
        <w:t>我公司员工合计35人，年工作300天，实行两班制生产，每班工作时间为12小时。公司设置有员工食堂和员工宿舍。</w:t>
      </w:r>
    </w:p>
    <w:p>
      <w:pPr>
        <w:pStyle w:val="5"/>
        <w:rPr>
          <w:rFonts w:cs="Times New Roman"/>
          <w:szCs w:val="24"/>
        </w:rPr>
      </w:pPr>
      <w:r>
        <w:rPr>
          <w:rFonts w:cs="Times New Roman"/>
          <w:szCs w:val="24"/>
        </w:rPr>
        <w:t>3.3主要原辅材料</w:t>
      </w:r>
      <w:bookmarkEnd w:id="15"/>
      <w:bookmarkEnd w:id="16"/>
    </w:p>
    <w:p>
      <w:pPr>
        <w:ind w:firstLine="480"/>
        <w:rPr>
          <w:rFonts w:eastAsia="宋体" w:cs="Times New Roman"/>
        </w:rPr>
      </w:pPr>
      <w:r>
        <w:rPr>
          <w:rFonts w:eastAsia="宋体" w:cs="Times New Roman"/>
        </w:rPr>
        <w:t>本项目环评报告中主要物料及能源消耗及实际消耗情况对照见表3-3。</w:t>
      </w:r>
    </w:p>
    <w:p>
      <w:pPr>
        <w:pStyle w:val="31"/>
        <w:spacing w:before="62" w:after="31"/>
        <w:rPr>
          <w:rFonts w:eastAsia="宋体"/>
        </w:rPr>
      </w:pPr>
      <w:r>
        <w:rPr>
          <w:rFonts w:eastAsia="宋体"/>
        </w:rPr>
        <w:t>表3-3  本项目主要原辅材料及能源消耗一览表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1240"/>
        <w:gridCol w:w="1214"/>
        <w:gridCol w:w="1821"/>
        <w:gridCol w:w="1338"/>
        <w:gridCol w:w="1215"/>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rPr>
                <w:b/>
                <w:bCs/>
              </w:rPr>
            </w:pPr>
            <w:bookmarkStart w:id="17" w:name="_Hlk80867529"/>
            <w:r>
              <w:rPr>
                <w:b/>
                <w:bCs/>
              </w:rPr>
              <w:t>序号</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原辅材料名称</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单位</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本项目环评审批年消耗量</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目前年消耗量</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原辅料消耗增减量</w:t>
            </w:r>
          </w:p>
        </w:tc>
        <w:tc>
          <w:tcPr>
            <w:tcW w:w="692"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1</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羊毛</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bCs/>
              </w:rP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1052.6</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1800</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+747.4</w:t>
            </w:r>
          </w:p>
        </w:tc>
        <w:tc>
          <w:tcPr>
            <w:tcW w:w="692" w:type="pct"/>
            <w:vMerge w:val="restart"/>
            <w:tcBorders>
              <w:top w:val="single" w:color="auto" w:sz="4" w:space="0"/>
              <w:left w:val="single" w:color="auto" w:sz="4" w:space="0"/>
              <w:right w:val="single" w:color="auto" w:sz="4" w:space="0"/>
            </w:tcBorders>
            <w:vAlign w:val="center"/>
          </w:tcPr>
          <w:p>
            <w:pPr>
              <w:pStyle w:val="42"/>
              <w:rPr>
                <w:lang w:bidi="ar"/>
              </w:rPr>
            </w:pPr>
            <w:r>
              <w:rPr>
                <w:lang w:bidi="ar"/>
              </w:rPr>
              <w:t>本次验收项目相关原辅材料消耗情况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2</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腈纶</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bCs/>
              </w:rP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531.9</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0</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-531.9</w:t>
            </w:r>
          </w:p>
        </w:tc>
        <w:tc>
          <w:tcPr>
            <w:tcW w:w="692" w:type="pct"/>
            <w:vMerge w:val="continue"/>
            <w:tcBorders>
              <w:left w:val="single" w:color="auto" w:sz="4" w:space="0"/>
              <w:right w:val="single" w:color="auto" w:sz="4" w:space="0"/>
            </w:tcBorders>
            <w:vAlign w:val="center"/>
          </w:tcPr>
          <w:p>
            <w:pPr>
              <w:pStyle w:val="42"/>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3</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涤纶</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rPr>
                <w:bCs/>
              </w:rP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pPr>
            <w:r>
              <w:t>531.9</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pPr>
            <w:r>
              <w:t>0</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-531.9</w:t>
            </w:r>
          </w:p>
        </w:tc>
        <w:tc>
          <w:tcPr>
            <w:tcW w:w="692" w:type="pct"/>
            <w:vMerge w:val="continue"/>
            <w:tcBorders>
              <w:left w:val="single" w:color="auto" w:sz="4" w:space="0"/>
              <w:right w:val="single" w:color="auto" w:sz="4" w:space="0"/>
            </w:tcBorders>
            <w:vAlign w:val="center"/>
          </w:tcPr>
          <w:p>
            <w:pPr>
              <w:pStyle w:val="4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4</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和毛油</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pPr>
            <w:r>
              <w:rPr>
                <w:szCs w:val="21"/>
              </w:rPr>
              <w:t>10</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szCs w:val="21"/>
              </w:rPr>
            </w:pPr>
            <w:r>
              <w:rPr>
                <w:rFonts w:hint="eastAsia"/>
                <w:szCs w:val="21"/>
              </w:rPr>
              <w:t>9.3</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rPr>
                <w:rFonts w:hint="eastAsia"/>
              </w:rPr>
              <w:t>-0.7</w:t>
            </w:r>
          </w:p>
        </w:tc>
        <w:tc>
          <w:tcPr>
            <w:tcW w:w="692" w:type="pct"/>
            <w:vMerge w:val="continue"/>
            <w:tcBorders>
              <w:left w:val="single" w:color="auto" w:sz="4" w:space="0"/>
              <w:right w:val="single" w:color="auto" w:sz="4" w:space="0"/>
            </w:tcBorders>
            <w:vAlign w:val="center"/>
          </w:tcPr>
          <w:p>
            <w:pPr>
              <w:pStyle w:val="4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5</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水</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pPr>
            <w:r>
              <w:t>3000</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szCs w:val="21"/>
              </w:rPr>
            </w:pPr>
            <w:r>
              <w:rPr>
                <w:rFonts w:hint="eastAsia"/>
                <w:szCs w:val="21"/>
              </w:rPr>
              <w:t>1048</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rPr>
                <w:rFonts w:hint="eastAsia"/>
              </w:rPr>
              <w:t>-1952</w:t>
            </w:r>
          </w:p>
        </w:tc>
        <w:tc>
          <w:tcPr>
            <w:tcW w:w="692" w:type="pct"/>
            <w:vMerge w:val="restart"/>
            <w:tcBorders>
              <w:left w:val="single" w:color="auto" w:sz="4" w:space="0"/>
              <w:right w:val="single" w:color="auto" w:sz="4" w:space="0"/>
            </w:tcBorders>
            <w:vAlign w:val="center"/>
          </w:tcPr>
          <w:p>
            <w:pPr>
              <w:pStyle w:val="42"/>
            </w:pPr>
            <w:r>
              <w:t>全厂能源消耗情况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bookmarkStart w:id="18" w:name="_Toc61958991"/>
            <w:bookmarkStart w:id="19" w:name="_Toc515273908"/>
            <w:r>
              <w:t>6</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电</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万kWh/a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pPr>
            <w:r>
              <w:t>40</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szCs w:val="21"/>
              </w:rPr>
            </w:pPr>
            <w:r>
              <w:rPr>
                <w:szCs w:val="21"/>
              </w:rPr>
              <w:t>36.8</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-3.2</w:t>
            </w:r>
          </w:p>
        </w:tc>
        <w:tc>
          <w:tcPr>
            <w:tcW w:w="692" w:type="pct"/>
            <w:vMerge w:val="continue"/>
            <w:tcBorders>
              <w:left w:val="single" w:color="auto" w:sz="4" w:space="0"/>
              <w:bottom w:val="single" w:color="auto" w:sz="4" w:space="0"/>
              <w:right w:val="single" w:color="auto" w:sz="4" w:space="0"/>
            </w:tcBorders>
            <w:vAlign w:val="center"/>
          </w:tcPr>
          <w:p>
            <w:pPr>
              <w:pStyle w:val="42"/>
            </w:pPr>
          </w:p>
        </w:tc>
      </w:tr>
      <w:bookmarkEnd w:id="17"/>
    </w:tbl>
    <w:p>
      <w:pPr>
        <w:pStyle w:val="5"/>
        <w:rPr>
          <w:rFonts w:cs="Times New Roman"/>
        </w:rPr>
      </w:pPr>
      <w:r>
        <w:rPr>
          <w:rFonts w:cs="Times New Roman"/>
          <w:szCs w:val="24"/>
        </w:rPr>
        <w:t>3.4</w:t>
      </w:r>
      <w:bookmarkEnd w:id="18"/>
      <w:bookmarkEnd w:id="19"/>
      <w:r>
        <w:rPr>
          <w:rFonts w:cs="Times New Roman"/>
        </w:rPr>
        <w:t>用水情况</w:t>
      </w:r>
    </w:p>
    <w:p>
      <w:pPr>
        <w:ind w:firstLine="480"/>
        <w:rPr>
          <w:rFonts w:eastAsia="宋体" w:cs="Times New Roman"/>
        </w:rPr>
      </w:pPr>
      <w:r>
        <w:rPr>
          <w:rFonts w:eastAsia="宋体" w:cs="Times New Roman"/>
        </w:rPr>
        <w:t>公司用水由桐乡市自来水管网提供。根据公司自来水水表数据显示，我公司2021年6月1</w:t>
      </w:r>
      <w:r>
        <w:rPr>
          <w:rFonts w:hint="eastAsia" w:eastAsia="宋体" w:cs="Times New Roman"/>
          <w:lang w:val="en-US" w:eastAsia="zh-CN"/>
        </w:rPr>
        <w:t>5</w:t>
      </w:r>
      <w:r>
        <w:rPr>
          <w:rFonts w:eastAsia="宋体" w:cs="Times New Roman"/>
        </w:rPr>
        <w:t>日-9月15日的用水量合计为</w:t>
      </w:r>
      <w:r>
        <w:rPr>
          <w:rFonts w:hint="eastAsia" w:eastAsia="宋体" w:cs="Times New Roman"/>
        </w:rPr>
        <w:t>262</w:t>
      </w:r>
      <w:r>
        <w:rPr>
          <w:rFonts w:eastAsia="宋体" w:cs="Times New Roman"/>
        </w:rPr>
        <w:t>t，期间工作天数为75天，公司全年工作时间为300天，折算为全年用水量约为</w:t>
      </w:r>
      <w:r>
        <w:rPr>
          <w:rFonts w:hint="eastAsia" w:eastAsia="宋体" w:cs="Times New Roman"/>
        </w:rPr>
        <w:t>1048</w:t>
      </w:r>
      <w:r>
        <w:rPr>
          <w:rFonts w:eastAsia="宋体" w:cs="Times New Roman"/>
        </w:rPr>
        <w:t>t/a。</w:t>
      </w:r>
    </w:p>
    <w:p>
      <w:pPr>
        <w:ind w:firstLine="480"/>
        <w:rPr>
          <w:rFonts w:eastAsia="宋体" w:cs="Times New Roman"/>
        </w:rPr>
      </w:pPr>
      <w:r>
        <w:rPr>
          <w:rFonts w:eastAsia="宋体" w:cs="Times New Roman"/>
        </w:rPr>
        <w:t>公司全厂营运过程中不涉及生产用水，全厂用水主要用于员工生活，生活污水产生量按用水量的90%计，则公司全厂生活污水产生量约为</w:t>
      </w:r>
      <w:r>
        <w:rPr>
          <w:rFonts w:hint="eastAsia" w:eastAsia="宋体" w:cs="Times New Roman"/>
        </w:rPr>
        <w:t>943.2</w:t>
      </w:r>
      <w:r>
        <w:rPr>
          <w:rFonts w:eastAsia="宋体" w:cs="Times New Roman"/>
        </w:rPr>
        <w:t>t/a，经化粪池、隔油池预处理达到《污水综合排放标准》（GB8978-1996）表4中的三级标准及《工业企业废水氮、磷污染物间接排放限值》（DB33/887-2013）表1中工业企业水污染物间接排放限值相关规定后纳入市政污水管网，废水排放量为</w:t>
      </w:r>
      <w:r>
        <w:rPr>
          <w:rFonts w:hint="eastAsia" w:eastAsia="宋体" w:cs="Times New Roman"/>
        </w:rPr>
        <w:t>943.2</w:t>
      </w:r>
      <w:r>
        <w:rPr>
          <w:rFonts w:eastAsia="宋体" w:cs="Times New Roman"/>
        </w:rPr>
        <w:t>t/a，最终经</w:t>
      </w:r>
      <w:r>
        <w:rPr>
          <w:rFonts w:hint="eastAsia" w:eastAsia="宋体" w:cs="Times New Roman"/>
        </w:rPr>
        <w:t>桐乡市城市污水处理有限责任公司</w:t>
      </w:r>
      <w:r>
        <w:rPr>
          <w:rFonts w:eastAsia="宋体" w:cs="Times New Roman"/>
        </w:rPr>
        <w:t>集中处理达到《城镇污水处理厂污染物排放标准》（GB18918-2002）表1中一级A标准后排放钱塘江。</w:t>
      </w:r>
      <w:r>
        <w:rPr>
          <w:rFonts w:eastAsia="宋体" w:cs="Times New Roman"/>
        </w:rPr>
        <w:drawing>
          <wp:inline distT="0" distB="0" distL="114300" distR="114300">
            <wp:extent cx="5393690" cy="1332230"/>
            <wp:effectExtent l="0" t="0" r="0" b="0"/>
            <wp:docPr id="15"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CB019B1-382A-4266-B25C-5B523AA43C14-1" descr="wps"/>
                    <pic:cNvPicPr>
                      <a:picLocks noChangeAspect="1"/>
                    </pic:cNvPicPr>
                  </pic:nvPicPr>
                  <pic:blipFill>
                    <a:blip r:embed="rId32"/>
                    <a:stretch>
                      <a:fillRect/>
                    </a:stretch>
                  </pic:blipFill>
                  <pic:spPr>
                    <a:xfrm>
                      <a:off x="0" y="0"/>
                      <a:ext cx="5393690" cy="1332230"/>
                    </a:xfrm>
                    <a:prstGeom prst="rect">
                      <a:avLst/>
                    </a:prstGeom>
                  </pic:spPr>
                </pic:pic>
              </a:graphicData>
            </a:graphic>
          </wp:inline>
        </w:drawing>
      </w:r>
    </w:p>
    <w:p>
      <w:pPr>
        <w:pStyle w:val="31"/>
        <w:spacing w:before="62" w:after="31"/>
        <w:rPr>
          <w:rFonts w:eastAsia="宋体"/>
        </w:rPr>
      </w:pPr>
      <w:r>
        <w:rPr>
          <w:rFonts w:eastAsia="宋体"/>
        </w:rPr>
        <w:t>图3-4  公司全厂水平衡图</w:t>
      </w:r>
    </w:p>
    <w:p>
      <w:pPr>
        <w:pStyle w:val="5"/>
        <w:rPr>
          <w:rFonts w:cs="Times New Roman"/>
        </w:rPr>
      </w:pPr>
      <w:bookmarkStart w:id="20" w:name="_Toc515273909"/>
      <w:bookmarkStart w:id="21" w:name="_Toc61958992"/>
      <w:r>
        <w:rPr>
          <w:rFonts w:cs="Times New Roman"/>
        </w:rPr>
        <w:t>3.5生产工艺</w:t>
      </w:r>
      <w:bookmarkEnd w:id="20"/>
      <w:bookmarkEnd w:id="21"/>
    </w:p>
    <w:p>
      <w:pPr>
        <w:pStyle w:val="6"/>
        <w:rPr>
          <w:rFonts w:eastAsia="宋体" w:cs="Times New Roman"/>
        </w:rPr>
      </w:pPr>
      <w:r>
        <w:rPr>
          <w:rFonts w:eastAsia="宋体" w:cs="Times New Roman"/>
        </w:rPr>
        <w:t>3.5.1生产工艺流程</w:t>
      </w:r>
    </w:p>
    <w:p>
      <w:pPr>
        <w:ind w:firstLine="480"/>
        <w:rPr>
          <w:rFonts w:eastAsia="宋体" w:cs="Times New Roman"/>
        </w:rPr>
      </w:pPr>
      <w:r>
        <w:rPr>
          <w:rFonts w:eastAsia="宋体" w:cs="Times New Roman"/>
        </w:rPr>
        <w:t>本项目主要从事毛条的生产，具体生产工艺见图3-5、图3-6。</w:t>
      </w:r>
    </w:p>
    <w:p>
      <w:pPr>
        <w:ind w:firstLine="482"/>
        <w:rPr>
          <w:rFonts w:eastAsia="宋体" w:cs="Times New Roman"/>
        </w:rPr>
      </w:pPr>
      <w:r>
        <w:rPr>
          <w:rFonts w:eastAsia="宋体" w:cs="Times New Roman"/>
          <w:b/>
          <w:bCs/>
        </w:rPr>
        <w:t>1、毛条生产工艺流程：</w:t>
      </w:r>
    </w:p>
    <w:p>
      <w:pPr>
        <w:tabs>
          <w:tab w:val="left" w:pos="360"/>
          <w:tab w:val="left" w:pos="540"/>
        </w:tabs>
        <w:ind w:firstLine="0" w:firstLineChars="0"/>
        <w:rPr>
          <w:rFonts w:eastAsia="宋体" w:cs="Times New Roman"/>
          <w:bCs/>
          <w:kern w:val="0"/>
        </w:rPr>
      </w:pPr>
      <w:r>
        <w:drawing>
          <wp:inline distT="0" distB="0" distL="114300" distR="114300">
            <wp:extent cx="5398135" cy="1895475"/>
            <wp:effectExtent l="0" t="0" r="12065" b="952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3"/>
                    <a:stretch>
                      <a:fillRect/>
                    </a:stretch>
                  </pic:blipFill>
                  <pic:spPr>
                    <a:xfrm>
                      <a:off x="0" y="0"/>
                      <a:ext cx="5398135" cy="1895475"/>
                    </a:xfrm>
                    <a:prstGeom prst="rect">
                      <a:avLst/>
                    </a:prstGeom>
                    <a:noFill/>
                    <a:ln>
                      <a:noFill/>
                    </a:ln>
                  </pic:spPr>
                </pic:pic>
              </a:graphicData>
            </a:graphic>
          </wp:inline>
        </w:drawing>
      </w:r>
    </w:p>
    <w:p>
      <w:pPr>
        <w:tabs>
          <w:tab w:val="left" w:pos="360"/>
          <w:tab w:val="left" w:pos="540"/>
        </w:tabs>
        <w:spacing w:line="240" w:lineRule="auto"/>
        <w:ind w:firstLine="422"/>
        <w:jc w:val="center"/>
        <w:rPr>
          <w:rFonts w:eastAsia="宋体" w:cs="Times New Roman"/>
          <w:bCs/>
          <w:kern w:val="0"/>
        </w:rPr>
      </w:pPr>
      <w:r>
        <w:rPr>
          <w:rFonts w:eastAsia="宋体" w:cs="Times New Roman"/>
          <w:b/>
          <w:sz w:val="21"/>
        </w:rPr>
        <w:t xml:space="preserve">图3-5  </w:t>
      </w:r>
      <w:r>
        <w:rPr>
          <w:rFonts w:hint="eastAsia" w:eastAsia="宋体" w:cs="Times New Roman"/>
          <w:b/>
          <w:sz w:val="21"/>
        </w:rPr>
        <w:t>毛条</w:t>
      </w:r>
      <w:r>
        <w:rPr>
          <w:rFonts w:eastAsia="宋体" w:cs="Times New Roman"/>
          <w:b/>
          <w:sz w:val="21"/>
        </w:rPr>
        <w:t>生产工艺流程及产污环节图</w:t>
      </w:r>
    </w:p>
    <w:p>
      <w:pPr>
        <w:ind w:firstLine="480"/>
        <w:rPr>
          <w:rFonts w:eastAsia="宋体" w:cs="Times New Roman"/>
          <w:bCs/>
          <w:kern w:val="0"/>
        </w:rPr>
      </w:pPr>
      <w:r>
        <w:rPr>
          <w:rFonts w:eastAsia="宋体" w:cs="Times New Roman"/>
          <w:bCs/>
          <w:kern w:val="0"/>
        </w:rPr>
        <w:br w:type="page"/>
      </w:r>
    </w:p>
    <w:p>
      <w:pPr>
        <w:tabs>
          <w:tab w:val="left" w:pos="360"/>
          <w:tab w:val="left" w:pos="540"/>
        </w:tabs>
        <w:ind w:firstLine="480"/>
        <w:rPr>
          <w:rFonts w:eastAsia="宋体" w:cs="Times New Roman"/>
          <w:bCs/>
          <w:kern w:val="0"/>
        </w:rPr>
      </w:pPr>
      <w:r>
        <w:rPr>
          <w:rFonts w:eastAsia="宋体" w:cs="Times New Roman"/>
          <w:bCs/>
          <w:kern w:val="0"/>
        </w:rPr>
        <w:t>流程说明：</w:t>
      </w:r>
    </w:p>
    <w:p>
      <w:pPr>
        <w:tabs>
          <w:tab w:val="left" w:pos="360"/>
          <w:tab w:val="left" w:pos="540"/>
        </w:tabs>
        <w:ind w:firstLine="480"/>
        <w:rPr>
          <w:rFonts w:eastAsia="宋体" w:cs="Times New Roman"/>
          <w:bCs/>
          <w:kern w:val="0"/>
        </w:rPr>
      </w:pPr>
      <w:r>
        <w:rPr>
          <w:rFonts w:eastAsia="宋体" w:cs="Times New Roman"/>
          <w:bCs/>
          <w:kern w:val="0"/>
        </w:rPr>
        <w:t>和毛：企业购置羊毛原料进厂后，先通过和毛工序将原材料混合均匀；</w:t>
      </w:r>
    </w:p>
    <w:p>
      <w:pPr>
        <w:tabs>
          <w:tab w:val="left" w:pos="360"/>
          <w:tab w:val="left" w:pos="540"/>
        </w:tabs>
        <w:ind w:firstLine="480"/>
        <w:rPr>
          <w:rFonts w:eastAsia="宋体" w:cs="Times New Roman"/>
          <w:bCs/>
          <w:kern w:val="0"/>
        </w:rPr>
      </w:pPr>
      <w:r>
        <w:rPr>
          <w:rFonts w:eastAsia="宋体" w:cs="Times New Roman"/>
          <w:bCs/>
          <w:kern w:val="0"/>
        </w:rPr>
        <w:t>梳毛、针梳及精梳：主要是将和毛后的块状、束状的混料，分解为单根纤维，形成一根根粗细结构均匀、具有一定单位重量的连续条状纱线，并去除毛丛中少量不必要的废毛料；</w:t>
      </w:r>
    </w:p>
    <w:p>
      <w:pPr>
        <w:tabs>
          <w:tab w:val="left" w:pos="360"/>
          <w:tab w:val="left" w:pos="540"/>
        </w:tabs>
        <w:ind w:firstLine="480"/>
        <w:rPr>
          <w:rFonts w:eastAsia="宋体" w:cs="Times New Roman"/>
          <w:bCs/>
          <w:kern w:val="0"/>
        </w:rPr>
      </w:pPr>
      <w:r>
        <w:rPr>
          <w:rFonts w:eastAsia="宋体" w:cs="Times New Roman"/>
          <w:bCs/>
          <w:kern w:val="0"/>
        </w:rPr>
        <w:t>并线：将筒子上的纱线并为双股或多股后即为产品；</w:t>
      </w:r>
    </w:p>
    <w:p>
      <w:pPr>
        <w:tabs>
          <w:tab w:val="left" w:pos="360"/>
          <w:tab w:val="left" w:pos="540"/>
        </w:tabs>
        <w:ind w:firstLine="480"/>
        <w:rPr>
          <w:rFonts w:eastAsia="宋体" w:cs="Times New Roman"/>
        </w:rPr>
      </w:pPr>
      <w:r>
        <w:rPr>
          <w:rFonts w:eastAsia="宋体" w:cs="Times New Roman"/>
          <w:bCs/>
          <w:kern w:val="0"/>
        </w:rPr>
        <w:t>包装入库：将并线后的产品包装入库。</w:t>
      </w:r>
    </w:p>
    <w:p>
      <w:pPr>
        <w:pStyle w:val="6"/>
        <w:rPr>
          <w:rFonts w:eastAsia="宋体" w:cs="Times New Roman"/>
        </w:rPr>
      </w:pPr>
      <w:bookmarkStart w:id="22" w:name="_Toc515273910"/>
      <w:r>
        <w:rPr>
          <w:rFonts w:eastAsia="宋体" w:cs="Times New Roman"/>
        </w:rPr>
        <w:t>3.5.2主要污染工序</w:t>
      </w:r>
    </w:p>
    <w:p>
      <w:pPr>
        <w:ind w:firstLine="480"/>
        <w:rPr>
          <w:rFonts w:eastAsia="宋体" w:cs="Times New Roman"/>
        </w:rPr>
      </w:pPr>
      <w:r>
        <w:rPr>
          <w:rFonts w:eastAsia="宋体" w:cs="Times New Roman"/>
        </w:rPr>
        <w:t>本项目主要污染工序及污染因子见下表。</w:t>
      </w:r>
    </w:p>
    <w:p>
      <w:pPr>
        <w:pStyle w:val="37"/>
        <w:spacing w:before="62" w:after="31"/>
        <w:rPr>
          <w:rFonts w:eastAsia="宋体"/>
          <w:color w:val="auto"/>
        </w:rPr>
      </w:pPr>
      <w:r>
        <w:rPr>
          <w:rFonts w:eastAsia="宋体"/>
          <w:color w:val="auto"/>
        </w:rPr>
        <w:t>表3-3  主要污染工序</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2473"/>
        <w:gridCol w:w="2480"/>
        <w:gridCol w:w="2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项目</w:t>
            </w:r>
          </w:p>
        </w:tc>
        <w:tc>
          <w:tcPr>
            <w:tcW w:w="1418"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污染物类型</w:t>
            </w:r>
          </w:p>
        </w:tc>
        <w:tc>
          <w:tcPr>
            <w:tcW w:w="1422"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污染工序</w:t>
            </w:r>
          </w:p>
        </w:tc>
        <w:tc>
          <w:tcPr>
            <w:tcW w:w="1495"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tcBorders>
              <w:top w:val="single" w:color="auto" w:sz="4" w:space="0"/>
              <w:left w:val="single" w:color="auto" w:sz="4" w:space="0"/>
              <w:bottom w:val="single" w:color="auto" w:sz="4" w:space="0"/>
              <w:right w:val="single" w:color="auto" w:sz="4" w:space="0"/>
            </w:tcBorders>
            <w:vAlign w:val="center"/>
          </w:tcPr>
          <w:p>
            <w:pPr>
              <w:pStyle w:val="42"/>
              <w:rPr>
                <w:bCs/>
              </w:rPr>
            </w:pPr>
            <w:r>
              <w:rPr>
                <w:bCs/>
              </w:rPr>
              <w:t>废水</w:t>
            </w:r>
          </w:p>
        </w:tc>
        <w:tc>
          <w:tcPr>
            <w:tcW w:w="1418" w:type="pct"/>
            <w:tcBorders>
              <w:top w:val="single" w:color="auto" w:sz="4" w:space="0"/>
              <w:left w:val="single" w:color="auto" w:sz="4" w:space="0"/>
              <w:bottom w:val="single" w:color="auto" w:sz="4" w:space="0"/>
              <w:right w:val="single" w:color="auto" w:sz="4" w:space="0"/>
            </w:tcBorders>
            <w:vAlign w:val="center"/>
          </w:tcPr>
          <w:p>
            <w:pPr>
              <w:pStyle w:val="42"/>
              <w:rPr>
                <w:bCs/>
              </w:rPr>
            </w:pPr>
            <w:r>
              <w:rPr>
                <w:bCs/>
              </w:rPr>
              <w:t>生活污水</w:t>
            </w:r>
          </w:p>
        </w:tc>
        <w:tc>
          <w:tcPr>
            <w:tcW w:w="1422" w:type="pct"/>
            <w:tcBorders>
              <w:top w:val="single" w:color="auto" w:sz="4" w:space="0"/>
              <w:left w:val="single" w:color="auto" w:sz="4" w:space="0"/>
              <w:bottom w:val="single" w:color="auto" w:sz="4" w:space="0"/>
              <w:right w:val="single" w:color="auto" w:sz="4" w:space="0"/>
            </w:tcBorders>
            <w:vAlign w:val="center"/>
          </w:tcPr>
          <w:p>
            <w:pPr>
              <w:pStyle w:val="42"/>
              <w:rPr>
                <w:bCs/>
              </w:rPr>
            </w:pPr>
            <w:r>
              <w:rPr>
                <w:bCs/>
              </w:rPr>
              <w:t>职工生活</w:t>
            </w:r>
          </w:p>
        </w:tc>
        <w:tc>
          <w:tcPr>
            <w:tcW w:w="1495" w:type="pct"/>
            <w:tcBorders>
              <w:top w:val="single" w:color="auto" w:sz="4" w:space="0"/>
              <w:left w:val="single" w:color="auto" w:sz="4" w:space="0"/>
              <w:bottom w:val="single" w:color="auto" w:sz="4" w:space="0"/>
              <w:right w:val="single" w:color="auto" w:sz="4" w:space="0"/>
            </w:tcBorders>
            <w:vAlign w:val="center"/>
          </w:tcPr>
          <w:p>
            <w:pPr>
              <w:pStyle w:val="42"/>
              <w:rPr>
                <w:bCs/>
              </w:rPr>
            </w:pPr>
            <w:r>
              <w:rPr>
                <w:bCs/>
              </w:rPr>
              <w:t>COD</w:t>
            </w:r>
            <w:r>
              <w:rPr>
                <w:bCs/>
                <w:vertAlign w:val="subscript"/>
              </w:rPr>
              <w:t>Cr</w:t>
            </w:r>
            <w:r>
              <w:rPr>
                <w:bCs/>
              </w:rPr>
              <w:t>、NH</w:t>
            </w:r>
            <w:r>
              <w:rPr>
                <w:bCs/>
                <w:vertAlign w:val="subscript"/>
              </w:rPr>
              <w:t>3</w:t>
            </w:r>
            <w:r>
              <w:rPr>
                <w:bCs/>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vMerge w:val="restart"/>
            <w:tcBorders>
              <w:left w:val="single" w:color="auto" w:sz="4" w:space="0"/>
              <w:right w:val="single" w:color="auto" w:sz="4" w:space="0"/>
            </w:tcBorders>
            <w:vAlign w:val="center"/>
          </w:tcPr>
          <w:p>
            <w:pPr>
              <w:pStyle w:val="42"/>
            </w:pPr>
            <w:r>
              <w:t>废气</w:t>
            </w:r>
          </w:p>
        </w:tc>
        <w:tc>
          <w:tcPr>
            <w:tcW w:w="1418" w:type="pct"/>
            <w:tcBorders>
              <w:top w:val="single" w:color="auto" w:sz="4" w:space="0"/>
              <w:left w:val="single" w:color="auto" w:sz="4" w:space="0"/>
              <w:bottom w:val="single" w:color="auto" w:sz="4" w:space="0"/>
              <w:right w:val="single" w:color="auto" w:sz="4" w:space="0"/>
            </w:tcBorders>
            <w:vAlign w:val="center"/>
          </w:tcPr>
          <w:p>
            <w:pPr>
              <w:pStyle w:val="42"/>
            </w:pPr>
            <w:r>
              <w:t>纤维尘</w:t>
            </w:r>
          </w:p>
        </w:tc>
        <w:tc>
          <w:tcPr>
            <w:tcW w:w="1422" w:type="pct"/>
            <w:tcBorders>
              <w:top w:val="single" w:color="auto" w:sz="4" w:space="0"/>
              <w:left w:val="single" w:color="auto" w:sz="4" w:space="0"/>
              <w:right w:val="single" w:color="auto" w:sz="4" w:space="0"/>
            </w:tcBorders>
            <w:vAlign w:val="center"/>
          </w:tcPr>
          <w:p>
            <w:pPr>
              <w:pStyle w:val="42"/>
            </w:pPr>
            <w:r>
              <w:t>生产过程</w:t>
            </w:r>
          </w:p>
        </w:tc>
        <w:tc>
          <w:tcPr>
            <w:tcW w:w="1495" w:type="pct"/>
            <w:tcBorders>
              <w:top w:val="single" w:color="auto" w:sz="4" w:space="0"/>
              <w:left w:val="single" w:color="auto" w:sz="4" w:space="0"/>
              <w:bottom w:val="single" w:color="auto" w:sz="4" w:space="0"/>
              <w:right w:val="single" w:color="auto" w:sz="4" w:space="0"/>
            </w:tcBorders>
            <w:vAlign w:val="center"/>
          </w:tcPr>
          <w:p>
            <w:pPr>
              <w:pStyle w:val="42"/>
            </w:pPr>
            <w: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vMerge w:val="continue"/>
            <w:tcBorders>
              <w:left w:val="single" w:color="auto" w:sz="4" w:space="0"/>
              <w:bottom w:val="single" w:color="auto" w:sz="4" w:space="0"/>
              <w:right w:val="single" w:color="auto" w:sz="4" w:space="0"/>
            </w:tcBorders>
            <w:vAlign w:val="center"/>
          </w:tcPr>
          <w:p>
            <w:pPr>
              <w:pStyle w:val="42"/>
            </w:pPr>
          </w:p>
        </w:tc>
        <w:tc>
          <w:tcPr>
            <w:tcW w:w="1418" w:type="pct"/>
            <w:tcBorders>
              <w:top w:val="single" w:color="auto" w:sz="4" w:space="0"/>
              <w:left w:val="single" w:color="auto" w:sz="4" w:space="0"/>
              <w:bottom w:val="single" w:color="auto" w:sz="4" w:space="0"/>
              <w:right w:val="single" w:color="auto" w:sz="4" w:space="0"/>
            </w:tcBorders>
            <w:vAlign w:val="center"/>
          </w:tcPr>
          <w:p>
            <w:pPr>
              <w:pStyle w:val="42"/>
            </w:pPr>
            <w:r>
              <w:t>食堂油烟</w:t>
            </w:r>
          </w:p>
        </w:tc>
        <w:tc>
          <w:tcPr>
            <w:tcW w:w="1422" w:type="pct"/>
            <w:tcBorders>
              <w:top w:val="single" w:color="auto" w:sz="4" w:space="0"/>
              <w:left w:val="single" w:color="auto" w:sz="4" w:space="0"/>
              <w:bottom w:val="single" w:color="auto" w:sz="4" w:space="0"/>
              <w:right w:val="single" w:color="auto" w:sz="4" w:space="0"/>
            </w:tcBorders>
            <w:vAlign w:val="center"/>
          </w:tcPr>
          <w:p>
            <w:pPr>
              <w:pStyle w:val="42"/>
            </w:pPr>
            <w:r>
              <w:t>职工生活</w:t>
            </w:r>
          </w:p>
        </w:tc>
        <w:tc>
          <w:tcPr>
            <w:tcW w:w="1495" w:type="pct"/>
            <w:tcBorders>
              <w:top w:val="single" w:color="auto" w:sz="4" w:space="0"/>
              <w:left w:val="single" w:color="auto" w:sz="4" w:space="0"/>
              <w:bottom w:val="single" w:color="auto" w:sz="4" w:space="0"/>
              <w:right w:val="single" w:color="auto" w:sz="4" w:space="0"/>
            </w:tcBorders>
            <w:vAlign w:val="center"/>
          </w:tcPr>
          <w:p>
            <w:pPr>
              <w:pStyle w:val="42"/>
            </w:pPr>
            <w:r>
              <w:t>食堂油烟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65" w:type="pct"/>
            <w:vMerge w:val="restart"/>
            <w:tcBorders>
              <w:top w:val="single" w:color="auto" w:sz="4" w:space="0"/>
              <w:left w:val="single" w:color="auto" w:sz="4" w:space="0"/>
              <w:right w:val="single" w:color="auto" w:sz="4" w:space="0"/>
            </w:tcBorders>
            <w:vAlign w:val="center"/>
          </w:tcPr>
          <w:p>
            <w:pPr>
              <w:pStyle w:val="42"/>
            </w:pPr>
            <w:r>
              <w:t>固废</w:t>
            </w:r>
          </w:p>
        </w:tc>
        <w:tc>
          <w:tcPr>
            <w:tcW w:w="1418" w:type="pct"/>
            <w:tcBorders>
              <w:top w:val="single" w:color="auto" w:sz="4" w:space="0"/>
              <w:left w:val="single" w:color="auto" w:sz="4" w:space="0"/>
              <w:right w:val="single" w:color="auto" w:sz="4" w:space="0"/>
            </w:tcBorders>
            <w:vAlign w:val="center"/>
          </w:tcPr>
          <w:p>
            <w:pPr>
              <w:pStyle w:val="42"/>
            </w:pPr>
            <w:r>
              <w:t>包装空桶</w:t>
            </w:r>
          </w:p>
        </w:tc>
        <w:tc>
          <w:tcPr>
            <w:tcW w:w="1422" w:type="pct"/>
            <w:tcBorders>
              <w:top w:val="single" w:color="auto" w:sz="4" w:space="0"/>
              <w:left w:val="single" w:color="auto" w:sz="4" w:space="0"/>
              <w:right w:val="single" w:color="auto" w:sz="4" w:space="0"/>
            </w:tcBorders>
            <w:vAlign w:val="center"/>
          </w:tcPr>
          <w:p>
            <w:pPr>
              <w:pStyle w:val="42"/>
            </w:pPr>
            <w:r>
              <w:t>原料使用</w:t>
            </w:r>
          </w:p>
        </w:tc>
        <w:tc>
          <w:tcPr>
            <w:tcW w:w="1495" w:type="pct"/>
            <w:tcBorders>
              <w:top w:val="single" w:color="auto" w:sz="4" w:space="0"/>
              <w:left w:val="single" w:color="auto" w:sz="4" w:space="0"/>
              <w:right w:val="single" w:color="auto" w:sz="4" w:space="0"/>
            </w:tcBorders>
            <w:vAlign w:val="center"/>
          </w:tcPr>
          <w:p>
            <w:pPr>
              <w:pStyle w:val="42"/>
            </w:pPr>
            <w:r>
              <w:t>和毛油、包装桶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vMerge w:val="continue"/>
            <w:tcBorders>
              <w:left w:val="single" w:color="auto" w:sz="4" w:space="0"/>
              <w:right w:val="single" w:color="auto" w:sz="4" w:space="0"/>
            </w:tcBorders>
            <w:vAlign w:val="center"/>
          </w:tcPr>
          <w:p>
            <w:pPr>
              <w:pStyle w:val="42"/>
            </w:pPr>
          </w:p>
        </w:tc>
        <w:tc>
          <w:tcPr>
            <w:tcW w:w="1418" w:type="pct"/>
            <w:tcBorders>
              <w:top w:val="single" w:color="auto" w:sz="4" w:space="0"/>
              <w:left w:val="single" w:color="auto" w:sz="4" w:space="0"/>
              <w:right w:val="single" w:color="auto" w:sz="4" w:space="0"/>
            </w:tcBorders>
            <w:vAlign w:val="center"/>
          </w:tcPr>
          <w:p>
            <w:pPr>
              <w:pStyle w:val="42"/>
            </w:pPr>
            <w:r>
              <w:rPr>
                <w:szCs w:val="21"/>
              </w:rPr>
              <w:t>废毛料</w:t>
            </w:r>
          </w:p>
        </w:tc>
        <w:tc>
          <w:tcPr>
            <w:tcW w:w="1422" w:type="pct"/>
            <w:tcBorders>
              <w:top w:val="single" w:color="auto" w:sz="4" w:space="0"/>
              <w:left w:val="single" w:color="auto" w:sz="4" w:space="0"/>
              <w:right w:val="single" w:color="auto" w:sz="4" w:space="0"/>
            </w:tcBorders>
            <w:vAlign w:val="center"/>
          </w:tcPr>
          <w:p>
            <w:pPr>
              <w:pStyle w:val="42"/>
            </w:pPr>
            <w:r>
              <w:t>生产过程</w:t>
            </w:r>
          </w:p>
        </w:tc>
        <w:tc>
          <w:tcPr>
            <w:tcW w:w="2607" w:type="dxa"/>
            <w:tcBorders>
              <w:top w:val="single" w:color="auto" w:sz="4" w:space="0"/>
              <w:left w:val="single" w:color="auto" w:sz="4" w:space="0"/>
              <w:right w:val="single" w:color="auto" w:sz="4" w:space="0"/>
            </w:tcBorders>
            <w:vAlign w:val="center"/>
          </w:tcPr>
          <w:p>
            <w:pPr>
              <w:pStyle w:val="42"/>
            </w:pPr>
            <w:r>
              <w:t>羊毛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vMerge w:val="continue"/>
            <w:tcBorders>
              <w:left w:val="single" w:color="auto" w:sz="4" w:space="0"/>
              <w:right w:val="single" w:color="auto" w:sz="4" w:space="0"/>
            </w:tcBorders>
            <w:vAlign w:val="center"/>
          </w:tcPr>
          <w:p>
            <w:pPr>
              <w:pStyle w:val="42"/>
            </w:pPr>
          </w:p>
        </w:tc>
        <w:tc>
          <w:tcPr>
            <w:tcW w:w="1418" w:type="pct"/>
            <w:tcBorders>
              <w:top w:val="single" w:color="auto" w:sz="4" w:space="0"/>
              <w:left w:val="single" w:color="auto" w:sz="4" w:space="0"/>
              <w:right w:val="single" w:color="auto" w:sz="4" w:space="0"/>
            </w:tcBorders>
            <w:vAlign w:val="center"/>
          </w:tcPr>
          <w:p>
            <w:pPr>
              <w:pStyle w:val="42"/>
              <w:rPr>
                <w:szCs w:val="21"/>
              </w:rPr>
            </w:pPr>
            <w:r>
              <w:rPr>
                <w:szCs w:val="21"/>
              </w:rPr>
              <w:t>回收的纤维尘</w:t>
            </w:r>
          </w:p>
        </w:tc>
        <w:tc>
          <w:tcPr>
            <w:tcW w:w="1422" w:type="pct"/>
            <w:tcBorders>
              <w:top w:val="single" w:color="auto" w:sz="4" w:space="0"/>
              <w:left w:val="single" w:color="auto" w:sz="4" w:space="0"/>
              <w:right w:val="single" w:color="auto" w:sz="4" w:space="0"/>
            </w:tcBorders>
            <w:vAlign w:val="center"/>
          </w:tcPr>
          <w:p>
            <w:pPr>
              <w:pStyle w:val="42"/>
            </w:pPr>
            <w:r>
              <w:t>废气治理</w:t>
            </w:r>
          </w:p>
        </w:tc>
        <w:tc>
          <w:tcPr>
            <w:tcW w:w="2607" w:type="dxa"/>
            <w:tcBorders>
              <w:top w:val="single" w:color="auto" w:sz="4" w:space="0"/>
              <w:left w:val="single" w:color="auto" w:sz="4" w:space="0"/>
              <w:right w:val="single" w:color="auto" w:sz="4" w:space="0"/>
            </w:tcBorders>
            <w:vAlign w:val="center"/>
          </w:tcPr>
          <w:p>
            <w:pPr>
              <w:pStyle w:val="42"/>
            </w:pPr>
            <w:r>
              <w:t>羊毛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vMerge w:val="continue"/>
            <w:tcBorders>
              <w:left w:val="single" w:color="auto" w:sz="4" w:space="0"/>
              <w:bottom w:val="single" w:color="auto" w:sz="4" w:space="0"/>
              <w:right w:val="single" w:color="auto" w:sz="4" w:space="0"/>
            </w:tcBorders>
            <w:vAlign w:val="center"/>
          </w:tcPr>
          <w:p>
            <w:pPr>
              <w:pStyle w:val="42"/>
            </w:pPr>
          </w:p>
        </w:tc>
        <w:tc>
          <w:tcPr>
            <w:tcW w:w="1418" w:type="pct"/>
            <w:tcBorders>
              <w:top w:val="single" w:color="auto" w:sz="4" w:space="0"/>
              <w:left w:val="single" w:color="auto" w:sz="4" w:space="0"/>
              <w:bottom w:val="single" w:color="auto" w:sz="4" w:space="0"/>
              <w:right w:val="single" w:color="auto" w:sz="4" w:space="0"/>
            </w:tcBorders>
            <w:vAlign w:val="center"/>
          </w:tcPr>
          <w:p>
            <w:pPr>
              <w:pStyle w:val="42"/>
            </w:pPr>
            <w:r>
              <w:t>生活垃圾</w:t>
            </w:r>
          </w:p>
        </w:tc>
        <w:tc>
          <w:tcPr>
            <w:tcW w:w="1422" w:type="pct"/>
            <w:tcBorders>
              <w:top w:val="single" w:color="auto" w:sz="4" w:space="0"/>
              <w:left w:val="single" w:color="auto" w:sz="4" w:space="0"/>
              <w:bottom w:val="single" w:color="auto" w:sz="4" w:space="0"/>
              <w:right w:val="single" w:color="auto" w:sz="4" w:space="0"/>
            </w:tcBorders>
            <w:vAlign w:val="center"/>
          </w:tcPr>
          <w:p>
            <w:pPr>
              <w:pStyle w:val="42"/>
            </w:pPr>
            <w:r>
              <w:t>职工生活</w:t>
            </w:r>
          </w:p>
        </w:tc>
        <w:tc>
          <w:tcPr>
            <w:tcW w:w="1495" w:type="pct"/>
            <w:tcBorders>
              <w:top w:val="single" w:color="auto" w:sz="4" w:space="0"/>
              <w:left w:val="single" w:color="auto" w:sz="4" w:space="0"/>
              <w:bottom w:val="single" w:color="auto" w:sz="4" w:space="0"/>
              <w:right w:val="single" w:color="auto" w:sz="4" w:space="0"/>
            </w:tcBorders>
            <w:vAlign w:val="center"/>
          </w:tcPr>
          <w:p>
            <w:pPr>
              <w:pStyle w:val="42"/>
            </w:pPr>
            <w: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pct"/>
            <w:tcBorders>
              <w:top w:val="single" w:color="auto" w:sz="4" w:space="0"/>
              <w:left w:val="single" w:color="auto" w:sz="4" w:space="0"/>
              <w:bottom w:val="single" w:color="auto" w:sz="4" w:space="0"/>
              <w:right w:val="single" w:color="auto" w:sz="4" w:space="0"/>
            </w:tcBorders>
            <w:vAlign w:val="center"/>
          </w:tcPr>
          <w:p>
            <w:pPr>
              <w:pStyle w:val="42"/>
            </w:pPr>
            <w:r>
              <w:t>噪声</w:t>
            </w:r>
          </w:p>
        </w:tc>
        <w:tc>
          <w:tcPr>
            <w:tcW w:w="1418" w:type="pct"/>
            <w:tcBorders>
              <w:top w:val="single" w:color="auto" w:sz="4" w:space="0"/>
              <w:left w:val="single" w:color="auto" w:sz="4" w:space="0"/>
              <w:bottom w:val="single" w:color="auto" w:sz="4" w:space="0"/>
              <w:right w:val="single" w:color="auto" w:sz="4" w:space="0"/>
            </w:tcBorders>
            <w:vAlign w:val="center"/>
          </w:tcPr>
          <w:p>
            <w:pPr>
              <w:pStyle w:val="42"/>
            </w:pPr>
            <w:r>
              <w:t>机械噪声</w:t>
            </w:r>
          </w:p>
        </w:tc>
        <w:tc>
          <w:tcPr>
            <w:tcW w:w="1422" w:type="pct"/>
            <w:tcBorders>
              <w:top w:val="single" w:color="auto" w:sz="4" w:space="0"/>
              <w:left w:val="single" w:color="auto" w:sz="4" w:space="0"/>
              <w:bottom w:val="single" w:color="auto" w:sz="4" w:space="0"/>
              <w:right w:val="single" w:color="auto" w:sz="4" w:space="0"/>
            </w:tcBorders>
            <w:vAlign w:val="center"/>
          </w:tcPr>
          <w:p>
            <w:pPr>
              <w:pStyle w:val="42"/>
            </w:pPr>
            <w:r>
              <w:t>生产设备、配套设备等</w:t>
            </w:r>
          </w:p>
        </w:tc>
        <w:tc>
          <w:tcPr>
            <w:tcW w:w="1495" w:type="pct"/>
            <w:tcBorders>
              <w:top w:val="single" w:color="auto" w:sz="4" w:space="0"/>
              <w:left w:val="single" w:color="auto" w:sz="4" w:space="0"/>
              <w:bottom w:val="single" w:color="auto" w:sz="4" w:space="0"/>
              <w:right w:val="single" w:color="auto" w:sz="4" w:space="0"/>
            </w:tcBorders>
            <w:vAlign w:val="center"/>
          </w:tcPr>
          <w:p>
            <w:pPr>
              <w:pStyle w:val="42"/>
            </w:pPr>
            <w:r>
              <w:t>Leq（A）</w:t>
            </w:r>
          </w:p>
        </w:tc>
      </w:tr>
    </w:tbl>
    <w:p>
      <w:pPr>
        <w:pStyle w:val="5"/>
        <w:spacing w:before="156" w:beforeLines="50"/>
        <w:rPr>
          <w:rFonts w:cs="Times New Roman"/>
          <w:szCs w:val="24"/>
        </w:rPr>
      </w:pPr>
      <w:bookmarkStart w:id="23" w:name="_Toc61958993"/>
      <w:r>
        <w:rPr>
          <w:rFonts w:cs="Times New Roman"/>
          <w:szCs w:val="24"/>
        </w:rPr>
        <w:t>3.6项目变动情况</w:t>
      </w:r>
      <w:bookmarkEnd w:id="22"/>
      <w:bookmarkEnd w:id="23"/>
    </w:p>
    <w:p>
      <w:pPr>
        <w:ind w:firstLine="480"/>
        <w:jc w:val="left"/>
        <w:rPr>
          <w:rFonts w:eastAsia="宋体" w:cs="Times New Roman"/>
        </w:rPr>
      </w:pPr>
      <w:r>
        <w:rPr>
          <w:rFonts w:eastAsia="宋体" w:cs="Times New Roman"/>
        </w:rPr>
        <w:t>经自查，</w:t>
      </w:r>
      <w:bookmarkStart w:id="24" w:name="_Hlk68175386"/>
      <w:r>
        <w:rPr>
          <w:rFonts w:eastAsia="宋体" w:cs="Times New Roman"/>
        </w:rPr>
        <w:t>浙江允源毛纺股份有限公司年产2000吨毛条新建项目在实施过程中，</w:t>
      </w:r>
      <w:bookmarkEnd w:id="24"/>
      <w:r>
        <w:rPr>
          <w:rFonts w:eastAsia="宋体" w:cs="Times New Roman"/>
        </w:rPr>
        <w:t>部分内容发生变化，具体情况如下：</w:t>
      </w:r>
    </w:p>
    <w:p>
      <w:pPr>
        <w:pStyle w:val="2"/>
        <w:spacing w:after="0"/>
        <w:ind w:left="0" w:leftChars="0" w:firstLine="480"/>
        <w:rPr>
          <w:rFonts w:eastAsia="宋体" w:cs="Times New Roman"/>
        </w:rPr>
      </w:pPr>
      <w:r>
        <w:rPr>
          <w:rFonts w:hint="eastAsia" w:eastAsia="宋体" w:cs="Times New Roman"/>
        </w:rPr>
        <w:t>（1）本项目原辅料有所变化</w:t>
      </w:r>
      <w:r>
        <w:rPr>
          <w:rFonts w:eastAsia="宋体" w:cs="Times New Roman"/>
        </w:rPr>
        <w:t>，</w:t>
      </w:r>
      <w:r>
        <w:rPr>
          <w:rFonts w:hint="eastAsia" w:eastAsia="宋体" w:cs="Times New Roman"/>
        </w:rPr>
        <w:t>毛条在</w:t>
      </w:r>
      <w:r>
        <w:rPr>
          <w:rFonts w:eastAsia="宋体" w:cs="Times New Roman"/>
        </w:rPr>
        <w:t>实际生产过程中</w:t>
      </w:r>
      <w:r>
        <w:rPr>
          <w:rFonts w:hint="eastAsia" w:eastAsia="宋体" w:cs="Times New Roman"/>
        </w:rPr>
        <w:t>不再添加腈纶和涤纶，原料</w:t>
      </w:r>
      <w:r>
        <w:rPr>
          <w:rFonts w:eastAsia="宋体" w:cs="Times New Roman"/>
        </w:rPr>
        <w:t>全部为羊毛，</w:t>
      </w:r>
      <w:r>
        <w:rPr>
          <w:rFonts w:hint="eastAsia" w:eastAsia="宋体" w:cs="Times New Roman"/>
        </w:rPr>
        <w:t>因此后道</w:t>
      </w:r>
      <w:r>
        <w:rPr>
          <w:rFonts w:eastAsia="宋体" w:cs="Times New Roman"/>
        </w:rPr>
        <w:t>加工中的精梳机比原环评中稍多，但</w:t>
      </w:r>
      <w:r>
        <w:rPr>
          <w:rFonts w:hint="eastAsia" w:eastAsia="宋体" w:cs="Times New Roman"/>
        </w:rPr>
        <w:t>控制</w:t>
      </w:r>
      <w:r>
        <w:rPr>
          <w:rFonts w:eastAsia="宋体" w:cs="Times New Roman"/>
        </w:rPr>
        <w:t>企业</w:t>
      </w:r>
      <w:r>
        <w:rPr>
          <w:rFonts w:hint="eastAsia" w:eastAsia="宋体" w:cs="Times New Roman"/>
        </w:rPr>
        <w:t>实际</w:t>
      </w:r>
      <w:r>
        <w:rPr>
          <w:rFonts w:eastAsia="宋体" w:cs="Times New Roman"/>
        </w:rPr>
        <w:t>产能的和毛机</w:t>
      </w:r>
      <w:r>
        <w:rPr>
          <w:rFonts w:hint="eastAsia" w:eastAsia="宋体" w:cs="Times New Roman"/>
        </w:rPr>
        <w:t>未发生变化，产能未</w:t>
      </w:r>
      <w:r>
        <w:rPr>
          <w:rFonts w:eastAsia="宋体" w:cs="Times New Roman"/>
        </w:rPr>
        <w:t>增加</w:t>
      </w:r>
      <w:r>
        <w:rPr>
          <w:rFonts w:hint="eastAsia" w:eastAsia="宋体" w:cs="Times New Roman"/>
        </w:rPr>
        <w:t>，对照《纺织印染建设项目重大变动清单（试行）》，该项</w:t>
      </w:r>
      <w:r>
        <w:rPr>
          <w:rFonts w:eastAsia="宋体" w:cs="Times New Roman"/>
        </w:rPr>
        <w:t>变动</w:t>
      </w:r>
      <w:r>
        <w:rPr>
          <w:rFonts w:hint="eastAsia" w:eastAsia="宋体" w:cs="Times New Roman"/>
        </w:rPr>
        <w:t>不属于重大变化。</w:t>
      </w:r>
    </w:p>
    <w:p>
      <w:pPr>
        <w:pStyle w:val="2"/>
        <w:spacing w:after="0"/>
        <w:ind w:left="0" w:leftChars="0" w:firstLine="480"/>
        <w:rPr>
          <w:rFonts w:eastAsia="宋体" w:cs="Times New Roman"/>
        </w:rPr>
      </w:pPr>
      <w:r>
        <w:rPr>
          <w:rFonts w:hint="eastAsia" w:eastAsia="宋体" w:cs="Times New Roman"/>
        </w:rPr>
        <w:t>（2）由于本项目和毛时有和毛油加入，和毛</w:t>
      </w:r>
      <w:r>
        <w:rPr>
          <w:rFonts w:eastAsia="宋体" w:cs="Times New Roman"/>
        </w:rPr>
        <w:t>后的</w:t>
      </w:r>
      <w:r>
        <w:rPr>
          <w:rFonts w:hint="eastAsia" w:eastAsia="宋体" w:cs="Times New Roman"/>
        </w:rPr>
        <w:t>毛料不易飘逸出来，和毛后的毛料通过密闭管道输送，后续梳毛、针梳、精梳时基本无粉尘产生，因此</w:t>
      </w:r>
      <w:r>
        <w:rPr>
          <w:rFonts w:eastAsia="宋体" w:cs="Times New Roman"/>
        </w:rPr>
        <w:t>企业</w:t>
      </w:r>
      <w:r>
        <w:rPr>
          <w:rFonts w:hint="eastAsia" w:eastAsia="宋体" w:cs="Times New Roman"/>
        </w:rPr>
        <w:t>梳毛、针梳、精梳各生产设备上均未安装吸尘装置，对照《纺织印染建设项目重大变动清单（试行）》，不属于重大变化。</w:t>
      </w:r>
    </w:p>
    <w:p>
      <w:pPr>
        <w:ind w:firstLine="480"/>
        <w:jc w:val="left"/>
        <w:rPr>
          <w:rFonts w:eastAsia="宋体" w:cs="Times New Roman"/>
        </w:rPr>
      </w:pPr>
      <w:r>
        <w:rPr>
          <w:rFonts w:hint="eastAsia" w:eastAsia="宋体" w:cs="Times New Roman"/>
        </w:rPr>
        <w:t>综上，</w:t>
      </w:r>
      <w:r>
        <w:rPr>
          <w:rFonts w:eastAsia="宋体" w:cs="Times New Roman"/>
        </w:rPr>
        <w:t>本项目性质、规模、地点、生产工艺、环境保护措施等方面均未构成重大变动</w:t>
      </w:r>
      <w:r>
        <w:rPr>
          <w:rFonts w:hint="eastAsia" w:eastAsia="宋体" w:cs="Times New Roman"/>
        </w:rPr>
        <w:t>。</w:t>
      </w:r>
    </w:p>
    <w:p>
      <w:pPr>
        <w:pStyle w:val="4"/>
        <w:rPr>
          <w:rFonts w:cs="Times New Roman"/>
        </w:rPr>
      </w:pPr>
      <w:bookmarkStart w:id="25" w:name="_Toc515273911"/>
      <w:bookmarkStart w:id="26" w:name="_Toc61958994"/>
      <w:r>
        <w:rPr>
          <w:rFonts w:cs="Times New Roman"/>
        </w:rPr>
        <w:t>4环境保护设施</w:t>
      </w:r>
      <w:bookmarkEnd w:id="25"/>
      <w:bookmarkEnd w:id="26"/>
    </w:p>
    <w:p>
      <w:pPr>
        <w:pStyle w:val="5"/>
        <w:rPr>
          <w:rFonts w:cs="Times New Roman"/>
        </w:rPr>
      </w:pPr>
      <w:bookmarkStart w:id="27" w:name="_Toc61958995"/>
      <w:bookmarkStart w:id="28" w:name="_Toc515273912"/>
      <w:r>
        <w:rPr>
          <w:rFonts w:cs="Times New Roman"/>
        </w:rPr>
        <w:t>4.1污染物治理设施</w:t>
      </w:r>
      <w:bookmarkEnd w:id="27"/>
      <w:bookmarkEnd w:id="28"/>
    </w:p>
    <w:p>
      <w:pPr>
        <w:pStyle w:val="6"/>
        <w:rPr>
          <w:rFonts w:eastAsia="宋体" w:cs="Times New Roman"/>
        </w:rPr>
      </w:pPr>
      <w:bookmarkStart w:id="29" w:name="_Toc61958996"/>
      <w:r>
        <w:rPr>
          <w:rFonts w:eastAsia="宋体" w:cs="Times New Roman"/>
        </w:rPr>
        <w:t>4.1.1废水</w:t>
      </w:r>
      <w:bookmarkEnd w:id="29"/>
    </w:p>
    <w:p>
      <w:pPr>
        <w:ind w:firstLine="480"/>
        <w:rPr>
          <w:rFonts w:eastAsia="宋体" w:cs="Times New Roman"/>
        </w:rPr>
      </w:pPr>
      <w:r>
        <w:rPr>
          <w:rFonts w:eastAsia="宋体" w:cs="Times New Roman"/>
        </w:rPr>
        <w:t>本项目在实施过程中无生产废水产生，产生的废水仅为职工生活污水。</w:t>
      </w:r>
    </w:p>
    <w:p>
      <w:pPr>
        <w:ind w:firstLine="480"/>
        <w:rPr>
          <w:rFonts w:eastAsia="宋体" w:cs="Times New Roman"/>
        </w:rPr>
      </w:pPr>
      <w:r>
        <w:rPr>
          <w:rFonts w:eastAsia="宋体" w:cs="Times New Roman"/>
        </w:rPr>
        <w:t>公司实行清污分流、雨污分流；食堂废水经隔油池处置、厕所污水经化粪池处理达到《污水综合排放标准》（GB8978-1996）表4中的三级标准及《工业企业废水氮、磷污染物间接排放限值》（DB33/887-2013）中相关规定后，纳入市政污水管网，最终经</w:t>
      </w:r>
      <w:r>
        <w:rPr>
          <w:rFonts w:hint="eastAsia" w:eastAsia="宋体" w:cs="Times New Roman"/>
        </w:rPr>
        <w:t>桐乡市城市污水处理有限责任公司</w:t>
      </w:r>
      <w:r>
        <w:rPr>
          <w:rFonts w:eastAsia="宋体" w:cs="Times New Roman"/>
        </w:rPr>
        <w:t>统一处理达到《城镇污水处理厂污染物排放标准》（GB18918-2002）表1中一级A标准后排放钱塘江。</w:t>
      </w:r>
    </w:p>
    <w:p>
      <w:pPr>
        <w:ind w:firstLine="480"/>
        <w:rPr>
          <w:rFonts w:eastAsia="宋体" w:cs="Times New Roman"/>
        </w:rPr>
      </w:pPr>
      <w:r>
        <w:rPr>
          <w:rFonts w:eastAsia="宋体" w:cs="Times New Roman"/>
        </w:rPr>
        <w:t>废水处理工艺流程如下：</w:t>
      </w:r>
    </w:p>
    <w:p>
      <w:pPr>
        <w:pStyle w:val="2"/>
        <w:ind w:left="0" w:leftChars="0" w:firstLine="0" w:firstLineChars="0"/>
        <w:rPr>
          <w:rFonts w:eastAsia="宋体" w:cs="Times New Roman"/>
        </w:rPr>
      </w:pPr>
      <w:r>
        <w:rPr>
          <w:rFonts w:eastAsia="宋体" w:cs="Times New Roman"/>
        </w:rPr>
        <w:drawing>
          <wp:inline distT="0" distB="0" distL="114300" distR="114300">
            <wp:extent cx="5400040" cy="765175"/>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34" cstate="screen"/>
                    <a:srcRect/>
                    <a:stretch>
                      <a:fillRect/>
                    </a:stretch>
                  </pic:blipFill>
                  <pic:spPr>
                    <a:xfrm>
                      <a:off x="0" y="0"/>
                      <a:ext cx="5400000" cy="765121"/>
                    </a:xfrm>
                    <a:prstGeom prst="rect">
                      <a:avLst/>
                    </a:prstGeom>
                    <a:noFill/>
                  </pic:spPr>
                </pic:pic>
              </a:graphicData>
            </a:graphic>
          </wp:inline>
        </w:drawing>
      </w:r>
    </w:p>
    <w:p>
      <w:pPr>
        <w:pStyle w:val="37"/>
        <w:spacing w:before="0" w:beforeLines="0" w:after="0" w:afterLines="0"/>
        <w:rPr>
          <w:rFonts w:eastAsia="宋体"/>
          <w:color w:val="auto"/>
        </w:rPr>
      </w:pPr>
      <w:r>
        <w:rPr>
          <w:rFonts w:eastAsia="宋体"/>
          <w:color w:val="auto"/>
        </w:rPr>
        <w:t>图4-1  废水处理工艺流程图</w:t>
      </w:r>
    </w:p>
    <w:p>
      <w:pPr>
        <w:ind w:firstLine="480"/>
        <w:rPr>
          <w:rFonts w:eastAsia="宋体" w:cs="Times New Roman"/>
        </w:rPr>
      </w:pPr>
      <w:r>
        <w:rPr>
          <w:rFonts w:eastAsia="宋体" w:cs="Times New Roman"/>
        </w:rPr>
        <w:t>废水治理情况汇总见表4-1。</w:t>
      </w:r>
    </w:p>
    <w:p>
      <w:pPr>
        <w:pStyle w:val="31"/>
        <w:spacing w:before="62" w:after="31"/>
        <w:rPr>
          <w:rFonts w:eastAsia="宋体"/>
        </w:rPr>
      </w:pPr>
      <w:r>
        <w:rPr>
          <w:rFonts w:eastAsia="宋体"/>
        </w:rPr>
        <w:t>表4-1  废水治理情况汇总表</w:t>
      </w:r>
    </w:p>
    <w:tbl>
      <w:tblPr>
        <w:tblStyle w:val="21"/>
        <w:tblW w:w="86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780"/>
        <w:gridCol w:w="1276"/>
        <w:gridCol w:w="851"/>
        <w:gridCol w:w="850"/>
        <w:gridCol w:w="2977"/>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b/>
                <w:bCs/>
                <w:color w:val="auto"/>
              </w:rPr>
            </w:pPr>
            <w:r>
              <w:rPr>
                <w:rFonts w:eastAsia="宋体" w:cs="Times New Roman"/>
                <w:b/>
                <w:bCs/>
                <w:color w:val="auto"/>
              </w:rPr>
              <w:t>废水类别</w:t>
            </w:r>
          </w:p>
        </w:tc>
        <w:tc>
          <w:tcPr>
            <w:tcW w:w="780"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b/>
                <w:bCs/>
                <w:color w:val="auto"/>
              </w:rPr>
            </w:pPr>
            <w:r>
              <w:rPr>
                <w:rFonts w:eastAsia="宋体" w:cs="Times New Roman"/>
                <w:b/>
                <w:bCs/>
                <w:color w:val="auto"/>
              </w:rPr>
              <w:t>废水</w:t>
            </w:r>
          </w:p>
          <w:p>
            <w:pPr>
              <w:pStyle w:val="40"/>
              <w:rPr>
                <w:rFonts w:eastAsia="宋体" w:cs="Times New Roman"/>
                <w:b/>
                <w:bCs/>
                <w:color w:val="auto"/>
              </w:rPr>
            </w:pPr>
            <w:r>
              <w:rPr>
                <w:rFonts w:eastAsia="宋体" w:cs="Times New Roman"/>
                <w:b/>
                <w:bCs/>
                <w:color w:val="auto"/>
              </w:rPr>
              <w:t>来源</w:t>
            </w:r>
          </w:p>
        </w:tc>
        <w:tc>
          <w:tcPr>
            <w:tcW w:w="1276"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b/>
                <w:bCs/>
                <w:color w:val="auto"/>
              </w:rPr>
            </w:pPr>
            <w:r>
              <w:rPr>
                <w:rFonts w:eastAsia="宋体" w:cs="Times New Roman"/>
                <w:b/>
                <w:bCs/>
                <w:color w:val="auto"/>
              </w:rPr>
              <w:t>污染物种类</w:t>
            </w:r>
          </w:p>
        </w:tc>
        <w:tc>
          <w:tcPr>
            <w:tcW w:w="851"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b/>
                <w:bCs/>
                <w:color w:val="auto"/>
              </w:rPr>
            </w:pPr>
            <w:r>
              <w:rPr>
                <w:rFonts w:eastAsia="宋体" w:cs="Times New Roman"/>
                <w:b/>
                <w:bCs/>
                <w:color w:val="auto"/>
              </w:rPr>
              <w:t>排放</w:t>
            </w:r>
          </w:p>
          <w:p>
            <w:pPr>
              <w:pStyle w:val="40"/>
              <w:rPr>
                <w:rFonts w:eastAsia="宋体" w:cs="Times New Roman"/>
                <w:b/>
                <w:bCs/>
                <w:color w:val="auto"/>
              </w:rPr>
            </w:pPr>
            <w:r>
              <w:rPr>
                <w:rFonts w:eastAsia="宋体" w:cs="Times New Roman"/>
                <w:b/>
                <w:bCs/>
                <w:color w:val="auto"/>
              </w:rPr>
              <w:t>规律</w:t>
            </w:r>
          </w:p>
        </w:tc>
        <w:tc>
          <w:tcPr>
            <w:tcW w:w="850"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b/>
                <w:bCs/>
                <w:color w:val="auto"/>
              </w:rPr>
            </w:pPr>
            <w:r>
              <w:rPr>
                <w:rFonts w:eastAsia="宋体" w:cs="Times New Roman"/>
                <w:b/>
                <w:bCs/>
                <w:color w:val="auto"/>
              </w:rPr>
              <w:t>治理</w:t>
            </w:r>
          </w:p>
          <w:p>
            <w:pPr>
              <w:pStyle w:val="40"/>
              <w:rPr>
                <w:rFonts w:eastAsia="宋体" w:cs="Times New Roman"/>
                <w:b/>
                <w:bCs/>
                <w:color w:val="auto"/>
              </w:rPr>
            </w:pPr>
            <w:r>
              <w:rPr>
                <w:rFonts w:eastAsia="宋体" w:cs="Times New Roman"/>
                <w:b/>
                <w:bCs/>
                <w:color w:val="auto"/>
              </w:rPr>
              <w:t>设施</w:t>
            </w:r>
          </w:p>
        </w:tc>
        <w:tc>
          <w:tcPr>
            <w:tcW w:w="2977"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b/>
                <w:bCs/>
                <w:color w:val="auto"/>
              </w:rPr>
            </w:pPr>
            <w:r>
              <w:rPr>
                <w:rFonts w:eastAsia="宋体" w:cs="Times New Roman"/>
                <w:b/>
                <w:bCs/>
                <w:color w:val="auto"/>
              </w:rPr>
              <w:t>设计指标</w:t>
            </w:r>
          </w:p>
        </w:tc>
        <w:tc>
          <w:tcPr>
            <w:tcW w:w="1134"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b/>
                <w:bCs/>
                <w:color w:val="auto"/>
              </w:rPr>
            </w:pPr>
            <w:r>
              <w:rPr>
                <w:rFonts w:eastAsia="宋体" w:cs="Times New Roman"/>
                <w:b/>
                <w:bCs/>
                <w:color w:val="auto"/>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4"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生活</w:t>
            </w:r>
          </w:p>
          <w:p>
            <w:pPr>
              <w:pStyle w:val="40"/>
              <w:rPr>
                <w:rFonts w:eastAsia="宋体" w:cs="Times New Roman"/>
                <w:color w:val="auto"/>
              </w:rPr>
            </w:pPr>
            <w:r>
              <w:rPr>
                <w:rFonts w:eastAsia="宋体" w:cs="Times New Roman"/>
                <w:color w:val="auto"/>
              </w:rPr>
              <w:t>污水</w:t>
            </w:r>
          </w:p>
        </w:tc>
        <w:tc>
          <w:tcPr>
            <w:tcW w:w="780"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职工</w:t>
            </w:r>
          </w:p>
          <w:p>
            <w:pPr>
              <w:pStyle w:val="40"/>
              <w:rPr>
                <w:rFonts w:eastAsia="宋体" w:cs="Times New Roman"/>
                <w:color w:val="auto"/>
              </w:rPr>
            </w:pPr>
            <w:r>
              <w:rPr>
                <w:rFonts w:eastAsia="宋体" w:cs="Times New Roman"/>
                <w:color w:val="auto"/>
              </w:rPr>
              <w:t>生活</w:t>
            </w:r>
          </w:p>
        </w:tc>
        <w:tc>
          <w:tcPr>
            <w:tcW w:w="1276" w:type="dxa"/>
            <w:tcBorders>
              <w:top w:val="single" w:color="auto" w:sz="4" w:space="0"/>
              <w:left w:val="single" w:color="auto" w:sz="4" w:space="0"/>
              <w:right w:val="single" w:color="auto" w:sz="4" w:space="0"/>
            </w:tcBorders>
            <w:vAlign w:val="center"/>
          </w:tcPr>
          <w:p>
            <w:pPr>
              <w:pStyle w:val="40"/>
              <w:jc w:val="left"/>
              <w:rPr>
                <w:rFonts w:eastAsia="宋体" w:cs="Times New Roman"/>
                <w:color w:val="auto"/>
              </w:rPr>
            </w:pPr>
            <w:r>
              <w:rPr>
                <w:rFonts w:eastAsia="宋体" w:cs="Times New Roman"/>
                <w:color w:val="auto"/>
              </w:rPr>
              <w:t>pH、</w:t>
            </w:r>
          </w:p>
          <w:p>
            <w:pPr>
              <w:pStyle w:val="40"/>
              <w:jc w:val="left"/>
              <w:rPr>
                <w:rFonts w:eastAsia="宋体" w:cs="Times New Roman"/>
                <w:color w:val="auto"/>
              </w:rPr>
            </w:pPr>
            <w:r>
              <w:rPr>
                <w:rFonts w:eastAsia="宋体" w:cs="Times New Roman"/>
                <w:color w:val="auto"/>
              </w:rPr>
              <w:t>COD</w:t>
            </w:r>
            <w:r>
              <w:rPr>
                <w:rFonts w:eastAsia="宋体" w:cs="Times New Roman"/>
                <w:color w:val="auto"/>
                <w:vertAlign w:val="subscript"/>
              </w:rPr>
              <w:t>Cr</w:t>
            </w:r>
            <w:r>
              <w:rPr>
                <w:rFonts w:eastAsia="宋体" w:cs="Times New Roman"/>
                <w:color w:val="auto"/>
              </w:rPr>
              <w:t>、</w:t>
            </w:r>
          </w:p>
          <w:p>
            <w:pPr>
              <w:pStyle w:val="40"/>
              <w:jc w:val="left"/>
              <w:rPr>
                <w:rFonts w:eastAsia="宋体" w:cs="Times New Roman"/>
                <w:color w:val="auto"/>
              </w:rPr>
            </w:pPr>
            <w:r>
              <w:rPr>
                <w:rFonts w:eastAsia="宋体" w:cs="Times New Roman"/>
                <w:color w:val="auto"/>
              </w:rPr>
              <w:t>NH</w:t>
            </w:r>
            <w:r>
              <w:rPr>
                <w:rFonts w:eastAsia="宋体" w:cs="Times New Roman"/>
                <w:color w:val="auto"/>
                <w:vertAlign w:val="subscript"/>
              </w:rPr>
              <w:t>3</w:t>
            </w:r>
            <w:r>
              <w:rPr>
                <w:rFonts w:eastAsia="宋体" w:cs="Times New Roman"/>
                <w:color w:val="auto"/>
              </w:rPr>
              <w:t>-N、</w:t>
            </w:r>
          </w:p>
          <w:p>
            <w:pPr>
              <w:pStyle w:val="40"/>
              <w:jc w:val="left"/>
              <w:rPr>
                <w:rFonts w:eastAsia="宋体" w:cs="Times New Roman"/>
                <w:color w:val="auto"/>
              </w:rPr>
            </w:pPr>
            <w:r>
              <w:rPr>
                <w:rFonts w:eastAsia="宋体" w:cs="Times New Roman"/>
                <w:color w:val="auto"/>
              </w:rPr>
              <w:t>BOD</w:t>
            </w:r>
            <w:r>
              <w:rPr>
                <w:rFonts w:eastAsia="宋体" w:cs="Times New Roman"/>
                <w:color w:val="auto"/>
                <w:vertAlign w:val="subscript"/>
              </w:rPr>
              <w:t>5</w:t>
            </w:r>
            <w:r>
              <w:rPr>
                <w:rFonts w:eastAsia="宋体" w:cs="Times New Roman"/>
                <w:color w:val="auto"/>
              </w:rPr>
              <w:t>、</w:t>
            </w:r>
          </w:p>
          <w:p>
            <w:pPr>
              <w:pStyle w:val="40"/>
              <w:jc w:val="left"/>
              <w:rPr>
                <w:rFonts w:eastAsia="宋体" w:cs="Times New Roman"/>
                <w:color w:val="auto"/>
              </w:rPr>
            </w:pPr>
            <w:r>
              <w:rPr>
                <w:rFonts w:eastAsia="宋体" w:cs="Times New Roman"/>
                <w:color w:val="auto"/>
              </w:rPr>
              <w:t>SS、</w:t>
            </w:r>
          </w:p>
          <w:p>
            <w:pPr>
              <w:pStyle w:val="40"/>
              <w:jc w:val="left"/>
              <w:rPr>
                <w:rFonts w:eastAsia="宋体" w:cs="Times New Roman"/>
                <w:color w:val="auto"/>
              </w:rPr>
            </w:pPr>
            <w:r>
              <w:rPr>
                <w:rFonts w:eastAsia="宋体" w:cs="Times New Roman"/>
                <w:color w:val="auto"/>
              </w:rPr>
              <w:t>TP</w:t>
            </w:r>
          </w:p>
        </w:tc>
        <w:tc>
          <w:tcPr>
            <w:tcW w:w="851" w:type="dxa"/>
            <w:tcBorders>
              <w:top w:val="single" w:color="auto" w:sz="4" w:space="0"/>
              <w:left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间歇</w:t>
            </w:r>
          </w:p>
        </w:tc>
        <w:tc>
          <w:tcPr>
            <w:tcW w:w="850"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化粪池、隔油池</w:t>
            </w:r>
          </w:p>
        </w:tc>
        <w:tc>
          <w:tcPr>
            <w:tcW w:w="2977" w:type="dxa"/>
            <w:tcBorders>
              <w:top w:val="single" w:color="auto" w:sz="4" w:space="0"/>
              <w:left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入网标准达到《污水综合排放标准》（GB8978-1996）表4中的三级标准，NH</w:t>
            </w:r>
            <w:r>
              <w:rPr>
                <w:rFonts w:eastAsia="宋体" w:cs="Times New Roman"/>
                <w:color w:val="auto"/>
                <w:vertAlign w:val="subscript"/>
              </w:rPr>
              <w:t>3</w:t>
            </w:r>
            <w:r>
              <w:rPr>
                <w:rFonts w:eastAsia="宋体" w:cs="Times New Roman"/>
                <w:color w:val="auto"/>
              </w:rPr>
              <w:t>-N、TP入网标准达到DB33/887-2013《工业企业废水氮、磷污染物间接排放限值》相关限值</w:t>
            </w:r>
          </w:p>
        </w:tc>
        <w:tc>
          <w:tcPr>
            <w:tcW w:w="1134" w:type="dxa"/>
            <w:tcBorders>
              <w:top w:val="single" w:color="auto" w:sz="4" w:space="0"/>
              <w:left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市政管网，最终进入</w:t>
            </w:r>
            <w:r>
              <w:rPr>
                <w:rFonts w:hint="eastAsia" w:eastAsia="宋体" w:cs="Times New Roman"/>
                <w:color w:val="auto"/>
              </w:rPr>
              <w:t>桐乡市城市污水处理有限责任公司</w:t>
            </w:r>
          </w:p>
        </w:tc>
      </w:tr>
    </w:tbl>
    <w:p>
      <w:pPr>
        <w:pStyle w:val="6"/>
        <w:spacing w:before="156" w:beforeLines="50"/>
        <w:rPr>
          <w:rFonts w:eastAsia="宋体" w:cs="Times New Roman"/>
        </w:rPr>
      </w:pPr>
      <w:bookmarkStart w:id="30" w:name="_Toc61958997"/>
      <w:r>
        <w:rPr>
          <w:rFonts w:eastAsia="宋体" w:cs="Times New Roman"/>
        </w:rPr>
        <w:t>4.1.2废气</w:t>
      </w:r>
      <w:bookmarkEnd w:id="30"/>
    </w:p>
    <w:p>
      <w:pPr>
        <w:ind w:firstLine="480"/>
        <w:rPr>
          <w:rFonts w:eastAsia="宋体" w:cs="Times New Roman"/>
        </w:rPr>
      </w:pPr>
      <w:r>
        <w:rPr>
          <w:rFonts w:eastAsia="宋体" w:cs="Times New Roman"/>
        </w:rPr>
        <w:t>本项目生产过程中产生的废气主要为和毛生产过程产生的纤维尘。企业在</w:t>
      </w:r>
      <w:r>
        <w:rPr>
          <w:rFonts w:hint="eastAsia" w:eastAsia="宋体" w:cs="Times New Roman"/>
        </w:rPr>
        <w:t>和毛工序</w:t>
      </w:r>
      <w:r>
        <w:rPr>
          <w:rFonts w:eastAsia="宋体" w:cs="Times New Roman"/>
        </w:rPr>
        <w:t>安装吸尘装置，输送管道密闭，收集后的纤维尘经布袋式除尘器净化处理后经高</w:t>
      </w:r>
      <w:r>
        <w:rPr>
          <w:rFonts w:hint="eastAsia" w:eastAsia="宋体" w:cs="Times New Roman"/>
        </w:rPr>
        <w:t>25</w:t>
      </w:r>
      <w:r>
        <w:rPr>
          <w:rFonts w:eastAsia="宋体" w:cs="Times New Roman"/>
        </w:rPr>
        <w:t>m排气筒高空排放。</w:t>
      </w:r>
    </w:p>
    <w:p>
      <w:pPr>
        <w:ind w:firstLine="480"/>
        <w:rPr>
          <w:rFonts w:eastAsia="宋体" w:cs="Times New Roman"/>
        </w:rPr>
      </w:pPr>
      <w:r>
        <w:rPr>
          <w:rFonts w:eastAsia="宋体" w:cs="Times New Roman"/>
        </w:rPr>
        <w:t>本项目废气治理情况见表4-2。</w:t>
      </w:r>
    </w:p>
    <w:p>
      <w:pPr>
        <w:pStyle w:val="31"/>
        <w:spacing w:before="62" w:after="31"/>
        <w:rPr>
          <w:rFonts w:eastAsia="宋体"/>
        </w:rPr>
      </w:pPr>
    </w:p>
    <w:p>
      <w:pPr>
        <w:pStyle w:val="31"/>
        <w:spacing w:before="62" w:after="31"/>
        <w:rPr>
          <w:rFonts w:eastAsia="宋体"/>
        </w:rPr>
      </w:pPr>
    </w:p>
    <w:p>
      <w:pPr>
        <w:pStyle w:val="31"/>
        <w:spacing w:before="62" w:after="31"/>
        <w:rPr>
          <w:rFonts w:eastAsia="宋体"/>
        </w:rPr>
      </w:pPr>
      <w:r>
        <w:rPr>
          <w:rFonts w:eastAsia="宋体"/>
        </w:rPr>
        <w:t>表4-2  废气治理情况汇总</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0"/>
        <w:gridCol w:w="1090"/>
        <w:gridCol w:w="1310"/>
        <w:gridCol w:w="1744"/>
        <w:gridCol w:w="3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b/>
                <w:bCs/>
              </w:rPr>
            </w:pPr>
            <w:r>
              <w:rPr>
                <w:rFonts w:eastAsia="宋体" w:cs="Times New Roman"/>
                <w:b/>
                <w:bCs/>
              </w:rPr>
              <w:t>废气类别</w:t>
            </w:r>
          </w:p>
        </w:tc>
        <w:tc>
          <w:tcPr>
            <w:tcW w:w="625"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b/>
                <w:bCs/>
              </w:rPr>
            </w:pPr>
            <w:r>
              <w:rPr>
                <w:rFonts w:eastAsia="宋体" w:cs="Times New Roman"/>
                <w:b/>
                <w:bCs/>
              </w:rPr>
              <w:t>废气来源</w:t>
            </w:r>
          </w:p>
        </w:tc>
        <w:tc>
          <w:tcPr>
            <w:tcW w:w="751"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b/>
                <w:bCs/>
              </w:rPr>
            </w:pPr>
            <w:r>
              <w:rPr>
                <w:rFonts w:eastAsia="宋体" w:cs="Times New Roman"/>
                <w:b/>
                <w:bCs/>
              </w:rPr>
              <w:t>污染物种类</w:t>
            </w:r>
          </w:p>
        </w:tc>
        <w:tc>
          <w:tcPr>
            <w:tcW w:w="1000"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b/>
                <w:bCs/>
              </w:rPr>
            </w:pPr>
            <w:r>
              <w:rPr>
                <w:rFonts w:eastAsia="宋体" w:cs="Times New Roman"/>
                <w:b/>
                <w:bCs/>
              </w:rPr>
              <w:t>治理设施</w:t>
            </w:r>
          </w:p>
        </w:tc>
        <w:tc>
          <w:tcPr>
            <w:tcW w:w="1999"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b/>
                <w:bCs/>
              </w:rPr>
            </w:pPr>
            <w:r>
              <w:rPr>
                <w:rFonts w:eastAsia="宋体" w:cs="Times New Roman"/>
                <w:b/>
                <w:bCs/>
              </w:rPr>
              <w:t>设计指标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5"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纤维尘</w:t>
            </w:r>
          </w:p>
        </w:tc>
        <w:tc>
          <w:tcPr>
            <w:tcW w:w="625"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hint="eastAsia" w:eastAsia="宋体" w:cs="Times New Roman"/>
              </w:rPr>
              <w:t>生产过程</w:t>
            </w:r>
          </w:p>
        </w:tc>
        <w:tc>
          <w:tcPr>
            <w:tcW w:w="751"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颗粒物</w:t>
            </w:r>
          </w:p>
        </w:tc>
        <w:tc>
          <w:tcPr>
            <w:tcW w:w="1000"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布袋除尘</w:t>
            </w:r>
          </w:p>
        </w:tc>
        <w:tc>
          <w:tcPr>
            <w:tcW w:w="1999"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GB16297-1996《大气污染物综合排放标准》表2中的二级标准</w:t>
            </w:r>
          </w:p>
        </w:tc>
      </w:tr>
    </w:tbl>
    <w:p>
      <w:pPr>
        <w:pStyle w:val="6"/>
        <w:spacing w:before="156" w:beforeLines="50"/>
        <w:rPr>
          <w:rFonts w:eastAsia="宋体" w:cs="Times New Roman"/>
        </w:rPr>
      </w:pPr>
      <w:bookmarkStart w:id="31" w:name="_Toc61958998"/>
      <w:r>
        <w:rPr>
          <w:rFonts w:eastAsia="宋体" w:cs="Times New Roman"/>
        </w:rPr>
        <w:t>4.1.3噪声</w:t>
      </w:r>
      <w:bookmarkEnd w:id="31"/>
    </w:p>
    <w:p>
      <w:pPr>
        <w:ind w:firstLine="480"/>
        <w:rPr>
          <w:rFonts w:eastAsia="宋体" w:cs="Times New Roman"/>
        </w:rPr>
      </w:pPr>
      <w:r>
        <w:rPr>
          <w:rFonts w:eastAsia="宋体" w:cs="Times New Roman"/>
        </w:rPr>
        <w:t>本项目噪声主要来自于生产设备的运行噪声。</w:t>
      </w:r>
    </w:p>
    <w:p>
      <w:pPr>
        <w:ind w:firstLine="480"/>
        <w:rPr>
          <w:rFonts w:eastAsia="宋体" w:cs="Times New Roman"/>
        </w:rPr>
      </w:pPr>
      <w:r>
        <w:rPr>
          <w:rFonts w:hint="eastAsia" w:eastAsia="宋体" w:cs="Times New Roman"/>
        </w:rPr>
        <w:t>公司在设备选型时，选择低噪声型设备，并对高噪声设备采用安装减震垫、隔声罩，风机安装消声器；加强设备的日常维修、更新，确保设备处于良好的状态下工作；加强车间管理和对操作工人的培训；对生产车间合理布局，高噪声设备设置在生产车间中央，从而使噪声最大限度地随距离自然衰减。</w:t>
      </w:r>
    </w:p>
    <w:p>
      <w:pPr>
        <w:pStyle w:val="6"/>
        <w:rPr>
          <w:rFonts w:eastAsia="宋体" w:cs="Times New Roman"/>
        </w:rPr>
      </w:pPr>
      <w:bookmarkStart w:id="32" w:name="_Toc61958999"/>
      <w:r>
        <w:rPr>
          <w:rFonts w:eastAsia="宋体" w:cs="Times New Roman"/>
        </w:rPr>
        <w:t>4.1.4固（液）体废物</w:t>
      </w:r>
      <w:bookmarkEnd w:id="32"/>
    </w:p>
    <w:p>
      <w:pPr>
        <w:ind w:firstLine="480"/>
        <w:rPr>
          <w:rFonts w:eastAsia="宋体" w:cs="Times New Roman"/>
        </w:rPr>
      </w:pPr>
      <w:r>
        <w:rPr>
          <w:rFonts w:eastAsia="宋体" w:cs="Times New Roman"/>
        </w:rPr>
        <w:t>根据公司实际情况，本项目生产过程中产生的固体废物分析结果见表4-3。</w:t>
      </w:r>
    </w:p>
    <w:p>
      <w:pPr>
        <w:pStyle w:val="31"/>
        <w:spacing w:before="62" w:after="31"/>
        <w:rPr>
          <w:rFonts w:eastAsia="宋体"/>
        </w:rPr>
      </w:pPr>
      <w:bookmarkStart w:id="33" w:name="_Hlk81559225"/>
      <w:r>
        <w:rPr>
          <w:rFonts w:eastAsia="宋体"/>
        </w:rPr>
        <w:t>表4-3   固体废物分析结果汇总表   单位：t/a</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1340"/>
        <w:gridCol w:w="1091"/>
        <w:gridCol w:w="752"/>
        <w:gridCol w:w="1211"/>
        <w:gridCol w:w="1311"/>
        <w:gridCol w:w="873"/>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Align w:val="center"/>
          </w:tcPr>
          <w:p>
            <w:pPr>
              <w:pStyle w:val="40"/>
              <w:rPr>
                <w:rFonts w:eastAsia="宋体" w:cs="Times New Roman"/>
                <w:b/>
                <w:bCs/>
                <w:color w:val="auto"/>
              </w:rPr>
            </w:pPr>
            <w:r>
              <w:rPr>
                <w:rFonts w:eastAsia="宋体" w:cs="Times New Roman"/>
                <w:b/>
                <w:bCs/>
                <w:color w:val="auto"/>
              </w:rPr>
              <w:t>序号</w:t>
            </w:r>
          </w:p>
        </w:tc>
        <w:tc>
          <w:tcPr>
            <w:tcW w:w="768" w:type="pct"/>
            <w:vAlign w:val="center"/>
          </w:tcPr>
          <w:p>
            <w:pPr>
              <w:pStyle w:val="40"/>
              <w:rPr>
                <w:rFonts w:eastAsia="宋体" w:cs="Times New Roman"/>
                <w:b/>
                <w:bCs/>
                <w:color w:val="auto"/>
              </w:rPr>
            </w:pPr>
            <w:r>
              <w:rPr>
                <w:rFonts w:eastAsia="宋体" w:cs="Times New Roman"/>
                <w:b/>
                <w:bCs/>
                <w:color w:val="auto"/>
              </w:rPr>
              <w:t>名称</w:t>
            </w:r>
          </w:p>
        </w:tc>
        <w:tc>
          <w:tcPr>
            <w:tcW w:w="625" w:type="pct"/>
            <w:vAlign w:val="center"/>
          </w:tcPr>
          <w:p>
            <w:pPr>
              <w:pStyle w:val="40"/>
              <w:rPr>
                <w:rFonts w:eastAsia="宋体" w:cs="Times New Roman"/>
                <w:b/>
                <w:bCs/>
                <w:color w:val="auto"/>
              </w:rPr>
            </w:pPr>
            <w:r>
              <w:rPr>
                <w:rFonts w:eastAsia="宋体" w:cs="Times New Roman"/>
                <w:b/>
                <w:bCs/>
                <w:color w:val="auto"/>
              </w:rPr>
              <w:t>产生工序</w:t>
            </w:r>
          </w:p>
        </w:tc>
        <w:tc>
          <w:tcPr>
            <w:tcW w:w="431" w:type="pct"/>
            <w:vAlign w:val="center"/>
          </w:tcPr>
          <w:p>
            <w:pPr>
              <w:pStyle w:val="40"/>
              <w:rPr>
                <w:rFonts w:eastAsia="宋体" w:cs="Times New Roman"/>
                <w:b/>
                <w:bCs/>
                <w:color w:val="auto"/>
              </w:rPr>
            </w:pPr>
            <w:r>
              <w:rPr>
                <w:rFonts w:eastAsia="宋体" w:cs="Times New Roman"/>
                <w:b/>
                <w:bCs/>
                <w:color w:val="auto"/>
              </w:rPr>
              <w:t>形态</w:t>
            </w:r>
          </w:p>
        </w:tc>
        <w:tc>
          <w:tcPr>
            <w:tcW w:w="694" w:type="pct"/>
            <w:vAlign w:val="center"/>
          </w:tcPr>
          <w:p>
            <w:pPr>
              <w:pStyle w:val="40"/>
              <w:rPr>
                <w:rFonts w:eastAsia="宋体" w:cs="Times New Roman"/>
                <w:b/>
                <w:bCs/>
                <w:color w:val="auto"/>
              </w:rPr>
            </w:pPr>
            <w:r>
              <w:rPr>
                <w:rFonts w:eastAsia="宋体" w:cs="Times New Roman"/>
                <w:b/>
                <w:bCs/>
                <w:color w:val="auto"/>
              </w:rPr>
              <w:t>主要成分</w:t>
            </w:r>
          </w:p>
        </w:tc>
        <w:tc>
          <w:tcPr>
            <w:tcW w:w="751" w:type="pct"/>
            <w:vAlign w:val="center"/>
          </w:tcPr>
          <w:p>
            <w:pPr>
              <w:pStyle w:val="40"/>
              <w:rPr>
                <w:rFonts w:eastAsia="宋体" w:cs="Times New Roman"/>
                <w:b/>
                <w:bCs/>
                <w:color w:val="auto"/>
              </w:rPr>
            </w:pPr>
            <w:r>
              <w:rPr>
                <w:rFonts w:eastAsia="宋体" w:cs="Times New Roman"/>
                <w:b/>
                <w:bCs/>
                <w:color w:val="auto"/>
              </w:rPr>
              <w:t>属性</w:t>
            </w:r>
          </w:p>
        </w:tc>
        <w:tc>
          <w:tcPr>
            <w:tcW w:w="500" w:type="pct"/>
            <w:vAlign w:val="center"/>
          </w:tcPr>
          <w:p>
            <w:pPr>
              <w:pStyle w:val="40"/>
              <w:rPr>
                <w:rFonts w:eastAsia="宋体" w:cs="Times New Roman"/>
                <w:b/>
                <w:bCs/>
                <w:color w:val="auto"/>
              </w:rPr>
            </w:pPr>
            <w:r>
              <w:rPr>
                <w:rFonts w:eastAsia="宋体" w:cs="Times New Roman"/>
                <w:b/>
                <w:bCs/>
                <w:color w:val="auto"/>
              </w:rPr>
              <w:t>产生量</w:t>
            </w:r>
          </w:p>
        </w:tc>
        <w:tc>
          <w:tcPr>
            <w:tcW w:w="831" w:type="pct"/>
            <w:vAlign w:val="center"/>
          </w:tcPr>
          <w:p>
            <w:pPr>
              <w:pStyle w:val="40"/>
              <w:rPr>
                <w:rFonts w:eastAsia="宋体" w:cs="Times New Roman"/>
                <w:b/>
                <w:bCs/>
                <w:color w:val="auto"/>
              </w:rPr>
            </w:pPr>
            <w:r>
              <w:rPr>
                <w:rFonts w:eastAsia="宋体" w:cs="Times New Roman"/>
                <w:b/>
                <w:bCs/>
                <w:color w:val="auto"/>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6" w:type="pct"/>
            <w:vAlign w:val="center"/>
          </w:tcPr>
          <w:p>
            <w:pPr>
              <w:pStyle w:val="40"/>
              <w:rPr>
                <w:rFonts w:eastAsia="宋体" w:cs="Times New Roman"/>
                <w:color w:val="auto"/>
              </w:rPr>
            </w:pPr>
            <w:r>
              <w:rPr>
                <w:rFonts w:hint="eastAsia" w:eastAsia="宋体" w:cs="Times New Roman"/>
                <w:color w:val="auto"/>
              </w:rPr>
              <w:t>1</w:t>
            </w:r>
          </w:p>
        </w:tc>
        <w:tc>
          <w:tcPr>
            <w:tcW w:w="768"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废毛料</w:t>
            </w:r>
          </w:p>
        </w:tc>
        <w:tc>
          <w:tcPr>
            <w:tcW w:w="625"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和毛、梳毛等</w:t>
            </w:r>
          </w:p>
        </w:tc>
        <w:tc>
          <w:tcPr>
            <w:tcW w:w="431"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bCs/>
                <w:color w:val="auto"/>
              </w:rPr>
            </w:pPr>
            <w:r>
              <w:rPr>
                <w:rFonts w:eastAsia="宋体" w:cs="Times New Roman"/>
                <w:color w:val="auto"/>
              </w:rPr>
              <w:t>固态</w:t>
            </w:r>
          </w:p>
        </w:tc>
        <w:tc>
          <w:tcPr>
            <w:tcW w:w="694"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羊毛</w:t>
            </w:r>
          </w:p>
        </w:tc>
        <w:tc>
          <w:tcPr>
            <w:tcW w:w="751"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一般固废</w:t>
            </w:r>
          </w:p>
        </w:tc>
        <w:tc>
          <w:tcPr>
            <w:tcW w:w="500" w:type="pct"/>
            <w:vAlign w:val="center"/>
          </w:tcPr>
          <w:p>
            <w:pPr>
              <w:pStyle w:val="40"/>
              <w:rPr>
                <w:rFonts w:eastAsia="宋体" w:cs="Times New Roman"/>
                <w:color w:val="auto"/>
              </w:rPr>
            </w:pPr>
            <w:r>
              <w:rPr>
                <w:rFonts w:eastAsia="宋体" w:cs="Times New Roman"/>
                <w:color w:val="auto"/>
              </w:rPr>
              <w:t>14.6</w:t>
            </w:r>
          </w:p>
        </w:tc>
        <w:tc>
          <w:tcPr>
            <w:tcW w:w="831" w:type="pct"/>
            <w:vMerge w:val="restart"/>
            <w:vAlign w:val="center"/>
          </w:tcPr>
          <w:p>
            <w:pPr>
              <w:pStyle w:val="40"/>
              <w:rPr>
                <w:rFonts w:eastAsia="宋体" w:cs="Times New Roman"/>
                <w:color w:val="auto"/>
              </w:rPr>
            </w:pPr>
            <w:r>
              <w:rPr>
                <w:rFonts w:eastAsia="宋体" w:cs="Times New Roman"/>
                <w:color w:val="auto"/>
              </w:rPr>
              <w:t>外卖综合利用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Align w:val="center"/>
          </w:tcPr>
          <w:p>
            <w:pPr>
              <w:pStyle w:val="40"/>
              <w:rPr>
                <w:rFonts w:eastAsia="宋体" w:cs="Times New Roman"/>
                <w:color w:val="auto"/>
              </w:rPr>
            </w:pPr>
            <w:r>
              <w:rPr>
                <w:rFonts w:hint="eastAsia" w:eastAsia="宋体" w:cs="Times New Roman"/>
                <w:color w:val="auto"/>
              </w:rPr>
              <w:t>2</w:t>
            </w:r>
          </w:p>
        </w:tc>
        <w:tc>
          <w:tcPr>
            <w:tcW w:w="768"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回收的纤维尘</w:t>
            </w:r>
          </w:p>
        </w:tc>
        <w:tc>
          <w:tcPr>
            <w:tcW w:w="625"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废气处理</w:t>
            </w:r>
          </w:p>
        </w:tc>
        <w:tc>
          <w:tcPr>
            <w:tcW w:w="431"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固态</w:t>
            </w:r>
          </w:p>
        </w:tc>
        <w:tc>
          <w:tcPr>
            <w:tcW w:w="694"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羊毛</w:t>
            </w:r>
          </w:p>
        </w:tc>
        <w:tc>
          <w:tcPr>
            <w:tcW w:w="751"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一般固废</w:t>
            </w:r>
          </w:p>
        </w:tc>
        <w:tc>
          <w:tcPr>
            <w:tcW w:w="500" w:type="pct"/>
            <w:vAlign w:val="center"/>
          </w:tcPr>
          <w:p>
            <w:pPr>
              <w:pStyle w:val="40"/>
              <w:rPr>
                <w:rFonts w:eastAsia="宋体" w:cs="Times New Roman"/>
                <w:color w:val="auto"/>
              </w:rPr>
            </w:pPr>
            <w:r>
              <w:rPr>
                <w:rFonts w:eastAsia="宋体" w:cs="Times New Roman"/>
                <w:color w:val="auto"/>
              </w:rPr>
              <w:t>1.4</w:t>
            </w:r>
          </w:p>
        </w:tc>
        <w:tc>
          <w:tcPr>
            <w:tcW w:w="831" w:type="pct"/>
            <w:vMerge w:val="continue"/>
            <w:vAlign w:val="center"/>
          </w:tcPr>
          <w:p>
            <w:pPr>
              <w:pStyle w:val="40"/>
              <w:rPr>
                <w:rFonts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96" w:type="pct"/>
            <w:vAlign w:val="center"/>
          </w:tcPr>
          <w:p>
            <w:pPr>
              <w:pStyle w:val="40"/>
              <w:rPr>
                <w:rFonts w:eastAsia="宋体" w:cs="Times New Roman"/>
                <w:color w:val="auto"/>
              </w:rPr>
            </w:pPr>
            <w:r>
              <w:rPr>
                <w:rFonts w:hint="eastAsia" w:eastAsia="宋体" w:cs="Times New Roman"/>
                <w:color w:val="auto"/>
              </w:rPr>
              <w:t>3</w:t>
            </w:r>
          </w:p>
        </w:tc>
        <w:tc>
          <w:tcPr>
            <w:tcW w:w="768"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生活垃圾</w:t>
            </w:r>
          </w:p>
        </w:tc>
        <w:tc>
          <w:tcPr>
            <w:tcW w:w="625"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职工生活</w:t>
            </w:r>
          </w:p>
        </w:tc>
        <w:tc>
          <w:tcPr>
            <w:tcW w:w="431"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固态</w:t>
            </w:r>
          </w:p>
        </w:tc>
        <w:tc>
          <w:tcPr>
            <w:tcW w:w="694"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废纸张、垃圾等</w:t>
            </w:r>
          </w:p>
        </w:tc>
        <w:tc>
          <w:tcPr>
            <w:tcW w:w="751" w:type="pct"/>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一般固废</w:t>
            </w:r>
          </w:p>
        </w:tc>
        <w:tc>
          <w:tcPr>
            <w:tcW w:w="500" w:type="pct"/>
            <w:vAlign w:val="center"/>
          </w:tcPr>
          <w:p>
            <w:pPr>
              <w:pStyle w:val="40"/>
              <w:rPr>
                <w:rFonts w:eastAsia="宋体" w:cs="Times New Roman"/>
                <w:color w:val="auto"/>
              </w:rPr>
            </w:pPr>
            <w:r>
              <w:rPr>
                <w:rFonts w:eastAsia="宋体" w:cs="Times New Roman"/>
                <w:color w:val="auto"/>
              </w:rPr>
              <w:t>6.7</w:t>
            </w:r>
          </w:p>
        </w:tc>
        <w:tc>
          <w:tcPr>
            <w:tcW w:w="831" w:type="pct"/>
            <w:vAlign w:val="center"/>
          </w:tcPr>
          <w:p>
            <w:pPr>
              <w:pStyle w:val="40"/>
              <w:rPr>
                <w:rFonts w:eastAsia="宋体" w:cs="Times New Roman"/>
                <w:color w:val="auto"/>
              </w:rPr>
            </w:pPr>
            <w:r>
              <w:rPr>
                <w:rFonts w:eastAsia="宋体" w:cs="Times New Roman"/>
                <w:color w:val="auto"/>
              </w:rPr>
              <w:t>委托环卫部门统一清运</w:t>
            </w:r>
          </w:p>
        </w:tc>
      </w:tr>
      <w:bookmarkEnd w:id="33"/>
    </w:tbl>
    <w:p>
      <w:pPr>
        <w:pStyle w:val="6"/>
        <w:spacing w:before="156" w:beforeLines="50"/>
        <w:rPr>
          <w:rFonts w:eastAsia="宋体" w:cs="Times New Roman"/>
        </w:rPr>
      </w:pPr>
      <w:r>
        <w:rPr>
          <w:rFonts w:eastAsia="宋体" w:cs="Times New Roman"/>
        </w:rPr>
        <w:t>4.1.5排污许可证管理制度</w:t>
      </w:r>
    </w:p>
    <w:p>
      <w:pPr>
        <w:ind w:firstLine="480"/>
        <w:rPr>
          <w:rFonts w:eastAsia="宋体" w:cs="Times New Roman"/>
        </w:rPr>
      </w:pPr>
      <w:r>
        <w:rPr>
          <w:rFonts w:eastAsia="宋体" w:cs="Times New Roman"/>
        </w:rPr>
        <w:t>根据《国务院办公厅关于印发控制污染物排放许可制实施方案的通知》、《排污许可管理办法条例》（国务院令第736号）、生态环境部办公厅《关于做好固定污染源排污许可清理整顿和2020年排污许可发证登记工作的通知》（环办环评函[2019]939号）和浙江省关于固定污染源排污许可清理整顿和2020年排污许可发证登记的相关工作要求。我公司已申领排污登记表，登记编号为913304837933644364001W。</w:t>
      </w:r>
    </w:p>
    <w:p>
      <w:pPr>
        <w:pStyle w:val="5"/>
        <w:rPr>
          <w:rFonts w:cs="Times New Roman"/>
        </w:rPr>
      </w:pPr>
      <w:bookmarkStart w:id="34" w:name="_Toc61959001"/>
      <w:r>
        <w:rPr>
          <w:rFonts w:cs="Times New Roman"/>
        </w:rPr>
        <w:t>4.2环保设施投资及“三同时”落实情况</w:t>
      </w:r>
      <w:bookmarkEnd w:id="34"/>
    </w:p>
    <w:p>
      <w:pPr>
        <w:ind w:firstLine="480"/>
        <w:rPr>
          <w:rFonts w:eastAsia="宋体" w:cs="Times New Roman"/>
        </w:rPr>
      </w:pPr>
      <w:r>
        <w:rPr>
          <w:rFonts w:eastAsia="宋体" w:cs="Times New Roman"/>
        </w:rPr>
        <w:t>本项目实际总投资</w:t>
      </w:r>
      <w:r>
        <w:rPr>
          <w:rFonts w:hint="eastAsia" w:eastAsia="宋体" w:cs="Times New Roman"/>
        </w:rPr>
        <w:t>4860</w:t>
      </w:r>
      <w:r>
        <w:rPr>
          <w:rFonts w:eastAsia="宋体" w:cs="Times New Roman"/>
        </w:rPr>
        <w:t>万元，其中环保投资2</w:t>
      </w:r>
      <w:r>
        <w:rPr>
          <w:rFonts w:hint="eastAsia" w:eastAsia="宋体" w:cs="Times New Roman"/>
        </w:rPr>
        <w:t>5</w:t>
      </w:r>
      <w:r>
        <w:rPr>
          <w:rFonts w:eastAsia="宋体" w:cs="Times New Roman"/>
        </w:rPr>
        <w:t>万元，占总投资额0.</w:t>
      </w:r>
      <w:r>
        <w:rPr>
          <w:rFonts w:hint="eastAsia" w:eastAsia="宋体" w:cs="Times New Roman"/>
        </w:rPr>
        <w:t>51</w:t>
      </w:r>
      <w:r>
        <w:rPr>
          <w:rFonts w:eastAsia="宋体" w:cs="Times New Roman"/>
        </w:rPr>
        <w:t>%。具体环保投资明细见表4-4。</w:t>
      </w:r>
    </w:p>
    <w:p>
      <w:pPr>
        <w:ind w:firstLine="480"/>
        <w:rPr>
          <w:rFonts w:eastAsia="宋体" w:cs="Times New Roman"/>
        </w:rPr>
      </w:pPr>
      <w:r>
        <w:rPr>
          <w:rFonts w:eastAsia="宋体" w:cs="Times New Roman"/>
        </w:rPr>
        <w:br w:type="page"/>
      </w:r>
    </w:p>
    <w:p>
      <w:pPr>
        <w:pStyle w:val="31"/>
        <w:spacing w:before="62" w:after="31"/>
        <w:rPr>
          <w:rFonts w:eastAsia="宋体"/>
        </w:rPr>
      </w:pPr>
      <w:r>
        <w:rPr>
          <w:rFonts w:eastAsia="宋体"/>
        </w:rPr>
        <w:t>表4-4  环保投资费用一览表  单位：万元</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3"/>
        <w:gridCol w:w="4077"/>
        <w:gridCol w:w="1080"/>
        <w:gridCol w:w="2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pct"/>
            <w:vAlign w:val="center"/>
          </w:tcPr>
          <w:p>
            <w:pPr>
              <w:pStyle w:val="30"/>
              <w:rPr>
                <w:rFonts w:eastAsia="宋体" w:cs="Times New Roman"/>
                <w:b/>
                <w:bCs/>
              </w:rPr>
            </w:pPr>
            <w:r>
              <w:rPr>
                <w:rFonts w:eastAsia="宋体" w:cs="Times New Roman"/>
                <w:b/>
                <w:bCs/>
              </w:rPr>
              <w:t>污染源</w:t>
            </w:r>
          </w:p>
        </w:tc>
        <w:tc>
          <w:tcPr>
            <w:tcW w:w="2337" w:type="pct"/>
            <w:vAlign w:val="center"/>
          </w:tcPr>
          <w:p>
            <w:pPr>
              <w:pStyle w:val="42"/>
              <w:rPr>
                <w:b/>
                <w:bCs/>
              </w:rPr>
            </w:pPr>
            <w:r>
              <w:rPr>
                <w:b/>
                <w:bCs/>
              </w:rPr>
              <w:t>内   容</w:t>
            </w:r>
          </w:p>
        </w:tc>
        <w:tc>
          <w:tcPr>
            <w:tcW w:w="619" w:type="pct"/>
            <w:vAlign w:val="center"/>
          </w:tcPr>
          <w:p>
            <w:pPr>
              <w:pStyle w:val="30"/>
              <w:rPr>
                <w:rFonts w:eastAsia="宋体" w:cs="Times New Roman"/>
                <w:b/>
                <w:bCs/>
              </w:rPr>
            </w:pPr>
            <w:r>
              <w:rPr>
                <w:rFonts w:eastAsia="宋体" w:cs="Times New Roman"/>
                <w:b/>
                <w:bCs/>
              </w:rPr>
              <w:t>投资</w:t>
            </w:r>
          </w:p>
        </w:tc>
        <w:tc>
          <w:tcPr>
            <w:tcW w:w="1295" w:type="pct"/>
            <w:vAlign w:val="center"/>
          </w:tcPr>
          <w:p>
            <w:pPr>
              <w:pStyle w:val="30"/>
              <w:rPr>
                <w:rFonts w:eastAsia="宋体" w:cs="Times New Roman"/>
                <w:b/>
                <w:bCs/>
              </w:rPr>
            </w:pPr>
            <w:r>
              <w:rPr>
                <w:rFonts w:eastAsia="宋体" w:cs="Times New Roman"/>
                <w:b/>
                <w:bCs/>
              </w:rPr>
              <w:t>环保效益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pct"/>
            <w:vAlign w:val="center"/>
          </w:tcPr>
          <w:p>
            <w:pPr>
              <w:pStyle w:val="30"/>
              <w:rPr>
                <w:rFonts w:eastAsia="宋体" w:cs="Times New Roman"/>
              </w:rPr>
            </w:pPr>
            <w:r>
              <w:rPr>
                <w:rFonts w:eastAsia="宋体" w:cs="Times New Roman"/>
              </w:rPr>
              <w:t>废水</w:t>
            </w:r>
          </w:p>
        </w:tc>
        <w:tc>
          <w:tcPr>
            <w:tcW w:w="2337" w:type="pct"/>
            <w:vAlign w:val="center"/>
          </w:tcPr>
          <w:p>
            <w:pPr>
              <w:pStyle w:val="30"/>
              <w:rPr>
                <w:rFonts w:eastAsia="宋体" w:cs="Times New Roman"/>
              </w:rPr>
            </w:pPr>
            <w:r>
              <w:rPr>
                <w:rFonts w:eastAsia="宋体" w:cs="Times New Roman"/>
              </w:rPr>
              <w:t>建设污水管道相关设施及污水入网费</w:t>
            </w:r>
          </w:p>
        </w:tc>
        <w:tc>
          <w:tcPr>
            <w:tcW w:w="619" w:type="pct"/>
            <w:vAlign w:val="center"/>
          </w:tcPr>
          <w:p>
            <w:pPr>
              <w:pStyle w:val="30"/>
              <w:rPr>
                <w:rFonts w:eastAsia="宋体" w:cs="Times New Roman"/>
              </w:rPr>
            </w:pPr>
            <w:r>
              <w:rPr>
                <w:rFonts w:hint="eastAsia" w:eastAsia="宋体" w:cs="Times New Roman"/>
              </w:rPr>
              <w:t>10</w:t>
            </w:r>
          </w:p>
        </w:tc>
        <w:tc>
          <w:tcPr>
            <w:tcW w:w="1295" w:type="pct"/>
            <w:vAlign w:val="center"/>
          </w:tcPr>
          <w:p>
            <w:pPr>
              <w:pStyle w:val="30"/>
              <w:rPr>
                <w:rFonts w:eastAsia="宋体" w:cs="Times New Roman"/>
              </w:rPr>
            </w:pPr>
            <w:r>
              <w:rPr>
                <w:rFonts w:eastAsia="宋体" w:cs="Times New Roman"/>
              </w:rPr>
              <w:t>废水达标入网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pct"/>
            <w:vAlign w:val="center"/>
          </w:tcPr>
          <w:p>
            <w:pPr>
              <w:pStyle w:val="30"/>
              <w:rPr>
                <w:rFonts w:eastAsia="宋体" w:cs="Times New Roman"/>
              </w:rPr>
            </w:pPr>
            <w:r>
              <w:rPr>
                <w:rFonts w:eastAsia="宋体" w:cs="Times New Roman"/>
              </w:rPr>
              <w:t>废气</w:t>
            </w:r>
          </w:p>
        </w:tc>
        <w:tc>
          <w:tcPr>
            <w:tcW w:w="2337" w:type="pct"/>
            <w:vAlign w:val="center"/>
          </w:tcPr>
          <w:p>
            <w:pPr>
              <w:pStyle w:val="30"/>
              <w:rPr>
                <w:rFonts w:eastAsia="宋体" w:cs="Times New Roman"/>
              </w:rPr>
            </w:pPr>
            <w:r>
              <w:rPr>
                <w:rFonts w:eastAsia="宋体" w:cs="Times New Roman"/>
              </w:rPr>
              <w:t>布袋除尘装置、集气管道</w:t>
            </w:r>
          </w:p>
        </w:tc>
        <w:tc>
          <w:tcPr>
            <w:tcW w:w="619" w:type="pct"/>
            <w:vAlign w:val="center"/>
          </w:tcPr>
          <w:p>
            <w:pPr>
              <w:pStyle w:val="30"/>
              <w:rPr>
                <w:rFonts w:eastAsia="宋体" w:cs="Times New Roman"/>
              </w:rPr>
            </w:pPr>
            <w:r>
              <w:rPr>
                <w:rFonts w:hint="eastAsia" w:eastAsia="宋体" w:cs="Times New Roman"/>
              </w:rPr>
              <w:t>8</w:t>
            </w:r>
          </w:p>
        </w:tc>
        <w:tc>
          <w:tcPr>
            <w:tcW w:w="1295" w:type="pct"/>
            <w:vAlign w:val="center"/>
          </w:tcPr>
          <w:p>
            <w:pPr>
              <w:pStyle w:val="30"/>
              <w:rPr>
                <w:rFonts w:eastAsia="宋体" w:cs="Times New Roman"/>
              </w:rPr>
            </w:pPr>
            <w:r>
              <w:rPr>
                <w:rFonts w:eastAsia="宋体" w:cs="Times New Roman"/>
              </w:rPr>
              <w:t>废气达标排放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pct"/>
            <w:vAlign w:val="center"/>
          </w:tcPr>
          <w:p>
            <w:pPr>
              <w:pStyle w:val="30"/>
              <w:rPr>
                <w:rFonts w:eastAsia="宋体" w:cs="Times New Roman"/>
              </w:rPr>
            </w:pPr>
            <w:r>
              <w:rPr>
                <w:rFonts w:eastAsia="宋体" w:cs="Times New Roman"/>
              </w:rPr>
              <w:t>噪声</w:t>
            </w:r>
          </w:p>
        </w:tc>
        <w:tc>
          <w:tcPr>
            <w:tcW w:w="2337" w:type="pct"/>
            <w:vAlign w:val="center"/>
          </w:tcPr>
          <w:p>
            <w:pPr>
              <w:pStyle w:val="30"/>
              <w:rPr>
                <w:rFonts w:eastAsia="宋体" w:cs="Times New Roman"/>
              </w:rPr>
            </w:pPr>
            <w:r>
              <w:rPr>
                <w:rFonts w:eastAsia="宋体" w:cs="Times New Roman"/>
              </w:rPr>
              <w:t>减震垫、隔声罩、消音器、隔声窗等</w:t>
            </w:r>
          </w:p>
        </w:tc>
        <w:tc>
          <w:tcPr>
            <w:tcW w:w="619" w:type="pct"/>
            <w:vAlign w:val="center"/>
          </w:tcPr>
          <w:p>
            <w:pPr>
              <w:pStyle w:val="30"/>
              <w:rPr>
                <w:rFonts w:eastAsia="宋体" w:cs="Times New Roman"/>
              </w:rPr>
            </w:pPr>
            <w:r>
              <w:rPr>
                <w:rFonts w:eastAsia="宋体" w:cs="Times New Roman"/>
              </w:rPr>
              <w:t>5</w:t>
            </w:r>
          </w:p>
        </w:tc>
        <w:tc>
          <w:tcPr>
            <w:tcW w:w="1295" w:type="pct"/>
            <w:vAlign w:val="center"/>
          </w:tcPr>
          <w:p>
            <w:pPr>
              <w:pStyle w:val="30"/>
              <w:rPr>
                <w:rFonts w:eastAsia="宋体" w:cs="Times New Roman"/>
              </w:rPr>
            </w:pPr>
            <w:r>
              <w:rPr>
                <w:rFonts w:eastAsia="宋体" w:cs="Times New Roman"/>
              </w:rPr>
              <w:t>噪声达标排放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7" w:type="pct"/>
            <w:vAlign w:val="center"/>
          </w:tcPr>
          <w:p>
            <w:pPr>
              <w:pStyle w:val="30"/>
              <w:rPr>
                <w:rFonts w:eastAsia="宋体" w:cs="Times New Roman"/>
              </w:rPr>
            </w:pPr>
            <w:r>
              <w:rPr>
                <w:rFonts w:eastAsia="宋体" w:cs="Times New Roman"/>
              </w:rPr>
              <w:t>固废</w:t>
            </w:r>
          </w:p>
        </w:tc>
        <w:tc>
          <w:tcPr>
            <w:tcW w:w="2337" w:type="pct"/>
            <w:vAlign w:val="center"/>
          </w:tcPr>
          <w:p>
            <w:pPr>
              <w:pStyle w:val="30"/>
              <w:rPr>
                <w:rFonts w:eastAsia="宋体" w:cs="Times New Roman"/>
              </w:rPr>
            </w:pPr>
            <w:r>
              <w:rPr>
                <w:rFonts w:eastAsia="宋体" w:cs="Times New Roman"/>
              </w:rPr>
              <w:t>建设一般固废仓库、固废处理</w:t>
            </w:r>
          </w:p>
        </w:tc>
        <w:tc>
          <w:tcPr>
            <w:tcW w:w="619" w:type="pct"/>
            <w:vAlign w:val="center"/>
          </w:tcPr>
          <w:p>
            <w:pPr>
              <w:pStyle w:val="30"/>
              <w:rPr>
                <w:rFonts w:eastAsia="宋体" w:cs="Times New Roman"/>
              </w:rPr>
            </w:pPr>
            <w:r>
              <w:rPr>
                <w:rFonts w:eastAsia="宋体" w:cs="Times New Roman"/>
              </w:rPr>
              <w:t>2</w:t>
            </w:r>
          </w:p>
        </w:tc>
        <w:tc>
          <w:tcPr>
            <w:tcW w:w="1295" w:type="pct"/>
            <w:vAlign w:val="center"/>
          </w:tcPr>
          <w:p>
            <w:pPr>
              <w:pStyle w:val="30"/>
              <w:rPr>
                <w:rFonts w:eastAsia="宋体" w:cs="Times New Roman"/>
              </w:rPr>
            </w:pPr>
            <w:r>
              <w:rPr>
                <w:rFonts w:eastAsia="宋体" w:cs="Times New Roman"/>
              </w:rPr>
              <w:t>固废妥善处置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84" w:type="pct"/>
            <w:gridSpan w:val="2"/>
            <w:vAlign w:val="center"/>
          </w:tcPr>
          <w:p>
            <w:pPr>
              <w:pStyle w:val="30"/>
              <w:rPr>
                <w:rFonts w:eastAsia="宋体" w:cs="Times New Roman"/>
              </w:rPr>
            </w:pPr>
            <w:r>
              <w:rPr>
                <w:rFonts w:eastAsia="宋体" w:cs="Times New Roman"/>
              </w:rPr>
              <w:t>合计</w:t>
            </w:r>
          </w:p>
        </w:tc>
        <w:tc>
          <w:tcPr>
            <w:tcW w:w="619" w:type="pct"/>
            <w:vAlign w:val="center"/>
          </w:tcPr>
          <w:p>
            <w:pPr>
              <w:pStyle w:val="30"/>
              <w:rPr>
                <w:rFonts w:eastAsia="宋体" w:cs="Times New Roman"/>
              </w:rPr>
            </w:pPr>
            <w:r>
              <w:rPr>
                <w:rFonts w:hint="eastAsia" w:eastAsia="宋体" w:cs="Times New Roman"/>
              </w:rPr>
              <w:t>25</w:t>
            </w:r>
          </w:p>
        </w:tc>
        <w:tc>
          <w:tcPr>
            <w:tcW w:w="1295" w:type="pct"/>
            <w:vAlign w:val="center"/>
          </w:tcPr>
          <w:p>
            <w:pPr>
              <w:pStyle w:val="30"/>
              <w:rPr>
                <w:rFonts w:eastAsia="宋体" w:cs="Times New Roman"/>
              </w:rPr>
            </w:pPr>
            <w:r>
              <w:rPr>
                <w:rFonts w:eastAsia="宋体" w:cs="Times New Roman"/>
              </w:rPr>
              <w:t>/</w:t>
            </w:r>
          </w:p>
        </w:tc>
      </w:tr>
    </w:tbl>
    <w:p>
      <w:pPr>
        <w:spacing w:before="156" w:beforeLines="50"/>
        <w:ind w:firstLine="480"/>
        <w:rPr>
          <w:rFonts w:eastAsia="宋体" w:cs="Times New Roman"/>
          <w:b/>
          <w:bCs/>
        </w:rPr>
      </w:pPr>
      <w:r>
        <w:rPr>
          <w:rFonts w:eastAsia="宋体" w:cs="Times New Roman"/>
        </w:rPr>
        <w:t>本项目“三同时”落实情况见表4-5。</w:t>
      </w:r>
    </w:p>
    <w:p>
      <w:pPr>
        <w:pStyle w:val="31"/>
        <w:spacing w:before="62" w:after="31"/>
        <w:rPr>
          <w:rFonts w:eastAsia="宋体"/>
        </w:rPr>
      </w:pPr>
      <w:r>
        <w:rPr>
          <w:rFonts w:eastAsia="宋体"/>
        </w:rPr>
        <w:t>表4-5  “三同时”落实情况一览表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3638"/>
        <w:gridCol w:w="43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Align w:val="center"/>
          </w:tcPr>
          <w:p>
            <w:pPr>
              <w:pStyle w:val="30"/>
              <w:rPr>
                <w:rFonts w:eastAsia="宋体" w:cs="Times New Roman"/>
                <w:b/>
                <w:bCs/>
              </w:rPr>
            </w:pPr>
            <w:r>
              <w:rPr>
                <w:rFonts w:eastAsia="宋体" w:cs="Times New Roman"/>
                <w:b/>
                <w:bCs/>
              </w:rPr>
              <w:t>类别</w:t>
            </w:r>
          </w:p>
        </w:tc>
        <w:tc>
          <w:tcPr>
            <w:tcW w:w="2086" w:type="pct"/>
            <w:vAlign w:val="center"/>
          </w:tcPr>
          <w:p>
            <w:pPr>
              <w:pStyle w:val="30"/>
              <w:rPr>
                <w:rFonts w:eastAsia="宋体" w:cs="Times New Roman"/>
                <w:b/>
                <w:bCs/>
              </w:rPr>
            </w:pPr>
            <w:r>
              <w:rPr>
                <w:rFonts w:eastAsia="宋体" w:cs="Times New Roman"/>
                <w:b/>
                <w:bCs/>
              </w:rPr>
              <w:t>环评要求</w:t>
            </w:r>
          </w:p>
        </w:tc>
        <w:tc>
          <w:tcPr>
            <w:tcW w:w="2499" w:type="pct"/>
            <w:vAlign w:val="center"/>
          </w:tcPr>
          <w:p>
            <w:pPr>
              <w:pStyle w:val="30"/>
              <w:rPr>
                <w:rFonts w:eastAsia="宋体" w:cs="Times New Roman"/>
                <w:b/>
                <w:bCs/>
              </w:rPr>
            </w:pPr>
            <w:r>
              <w:rPr>
                <w:rFonts w:eastAsia="宋体" w:cs="Times New Roman"/>
                <w:b/>
                <w:bCs/>
              </w:rPr>
              <w:t>实际落实情况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Align w:val="center"/>
          </w:tcPr>
          <w:p>
            <w:pPr>
              <w:pStyle w:val="30"/>
              <w:rPr>
                <w:rFonts w:eastAsia="宋体" w:cs="Times New Roman"/>
              </w:rPr>
            </w:pPr>
            <w:r>
              <w:rPr>
                <w:rFonts w:eastAsia="宋体" w:cs="Times New Roman"/>
              </w:rPr>
              <w:t>废水</w:t>
            </w:r>
          </w:p>
        </w:tc>
        <w:tc>
          <w:tcPr>
            <w:tcW w:w="2086" w:type="pct"/>
            <w:vAlign w:val="center"/>
          </w:tcPr>
          <w:p>
            <w:pPr>
              <w:pStyle w:val="42"/>
              <w:jc w:val="both"/>
            </w:pPr>
            <w:r>
              <w:t>实行清污分流、雨污分流；食堂废水经隔油池处置、厕所污水经化粪池处理后和其他废水一起达到入网标准后排入污水收集管网，最终经桐乡市濮院恒盛水处理有限公司处理达到GB18918－2002《城镇污水处理厂污染物排放标准》表1中一级A标准后排入钱塘江。</w:t>
            </w:r>
          </w:p>
        </w:tc>
        <w:tc>
          <w:tcPr>
            <w:tcW w:w="2499" w:type="pct"/>
            <w:vAlign w:val="center"/>
          </w:tcPr>
          <w:p>
            <w:pPr>
              <w:pStyle w:val="40"/>
              <w:jc w:val="both"/>
              <w:rPr>
                <w:rFonts w:eastAsia="宋体" w:cs="Times New Roman"/>
                <w:color w:val="auto"/>
              </w:rPr>
            </w:pPr>
            <w:r>
              <w:rPr>
                <w:rFonts w:eastAsia="宋体" w:cs="Times New Roman"/>
                <w:color w:val="auto"/>
              </w:rPr>
              <w:t>已落实。</w:t>
            </w:r>
          </w:p>
          <w:p>
            <w:pPr>
              <w:pStyle w:val="42"/>
              <w:jc w:val="both"/>
            </w:pPr>
            <w:r>
              <w:t>公司实行清污分流、雨污分流。食堂废水经隔油池处置、厕所污水经化粪池处理后和其他废水一起达到《污水综合排放标准》（GB8978-1996）表4中三级标准及《工业企业废水氮、磷污染物间接排放限值》（DB33/887-2013）中相关规定后，纳入区域污水收集管网，最终经</w:t>
            </w:r>
            <w:r>
              <w:rPr>
                <w:rFonts w:hint="eastAsia"/>
              </w:rPr>
              <w:t>桐乡市城市污水处理有限责任公司</w:t>
            </w:r>
            <w:r>
              <w:t>统一处理达到GB18918-2002《城镇污水处理厂污染物排放标准》表1中一级A标准后排放钱塘江</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Align w:val="center"/>
          </w:tcPr>
          <w:p>
            <w:pPr>
              <w:pStyle w:val="30"/>
              <w:rPr>
                <w:rFonts w:eastAsia="宋体" w:cs="Times New Roman"/>
              </w:rPr>
            </w:pPr>
            <w:r>
              <w:rPr>
                <w:rFonts w:eastAsia="宋体" w:cs="Times New Roman"/>
              </w:rPr>
              <w:t>废气</w:t>
            </w:r>
          </w:p>
        </w:tc>
        <w:tc>
          <w:tcPr>
            <w:tcW w:w="2086" w:type="pct"/>
            <w:vAlign w:val="center"/>
          </w:tcPr>
          <w:p>
            <w:pPr>
              <w:pStyle w:val="42"/>
              <w:jc w:val="both"/>
            </w:pPr>
            <w:r>
              <w:t>企业在产生纤维尘的设备上均安装吸尘装置，输送管道密闭，收集后的纤维尘经布袋式除尘器净化处理后经高15m以上排气筒高空排放，捕集率96%以上，除尘率98%以上。建议本项目生产车间设置50米的卫生防护距离，建议规划等有关部门在本项目生产车间防护距离范围内不批建住宅、医院、学校和食品企业等大气环境敏感点。</w:t>
            </w:r>
          </w:p>
          <w:p>
            <w:pPr>
              <w:pStyle w:val="42"/>
              <w:jc w:val="both"/>
            </w:pPr>
            <w:r>
              <w:t>本项目油烟废气必须经处理达标排放，油烟废气排放浓度小于2mg/m</w:t>
            </w:r>
            <w:r>
              <w:rPr>
                <w:vertAlign w:val="superscript"/>
              </w:rPr>
              <w:t>3</w:t>
            </w:r>
            <w:r>
              <w:t>，去除效率大于75%。</w:t>
            </w:r>
          </w:p>
        </w:tc>
        <w:tc>
          <w:tcPr>
            <w:tcW w:w="2499" w:type="pct"/>
            <w:vAlign w:val="center"/>
          </w:tcPr>
          <w:p>
            <w:pPr>
              <w:pStyle w:val="42"/>
              <w:jc w:val="both"/>
            </w:pPr>
            <w:r>
              <w:t>已落实。</w:t>
            </w:r>
          </w:p>
          <w:p>
            <w:pPr>
              <w:pStyle w:val="42"/>
              <w:jc w:val="both"/>
            </w:pPr>
            <w:r>
              <w:t>公司在产生纤维尘的设备上均安装吸尘装置，输送管道密闭，收集后的纤维尘经布袋式除尘器净化处理后经高</w:t>
            </w:r>
            <w:r>
              <w:rPr>
                <w:rFonts w:hint="eastAsia"/>
              </w:rPr>
              <w:t>25</w:t>
            </w:r>
            <w:r>
              <w:t>m排气筒高空排放。</w:t>
            </w:r>
            <w:r>
              <w:rPr>
                <w:rFonts w:hint="eastAsia"/>
              </w:rPr>
              <w:t>本项目生产车间50米范围内无住宅、医院、学校和食品企业等大气环境敏感点。</w:t>
            </w:r>
          </w:p>
          <w:p>
            <w:pPr>
              <w:pStyle w:val="42"/>
              <w:jc w:val="both"/>
            </w:pPr>
            <w:r>
              <w:t>本项目油烟废气采用DDN型静电式油烟净化装置净化处理后，通过厨房所在房屋屋顶高空排放</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Align w:val="center"/>
          </w:tcPr>
          <w:p>
            <w:pPr>
              <w:pStyle w:val="30"/>
              <w:rPr>
                <w:rFonts w:eastAsia="宋体" w:cs="Times New Roman"/>
              </w:rPr>
            </w:pPr>
            <w:r>
              <w:rPr>
                <w:rFonts w:eastAsia="宋体" w:cs="Times New Roman"/>
              </w:rPr>
              <w:t>噪声</w:t>
            </w:r>
          </w:p>
        </w:tc>
        <w:tc>
          <w:tcPr>
            <w:tcW w:w="2086" w:type="pct"/>
            <w:vAlign w:val="center"/>
          </w:tcPr>
          <w:p>
            <w:pPr>
              <w:pStyle w:val="42"/>
              <w:jc w:val="both"/>
            </w:pPr>
            <w:r>
              <w:t>本项目噪声主要来自于和毛机、梳毛机、针梳机、精梳机等设备的运行噪声。</w:t>
            </w:r>
          </w:p>
          <w:p>
            <w:pPr>
              <w:pStyle w:val="42"/>
              <w:jc w:val="both"/>
            </w:pPr>
            <w:r>
              <w:t>要求在设备选型时，选择低噪声型设备，加强生产设备的日常维护工作，确保其正常运行，对生产车间合理布局，厂区南侧区域设置为仓库等噪声较小用房；对生产设备采取基础减震措施，如加装防震垫；且加强厂区及周围绿化工作，充分利用绿化等降噪措施，尽量减少本项目噪声对周围环境的影响。</w:t>
            </w:r>
          </w:p>
        </w:tc>
        <w:tc>
          <w:tcPr>
            <w:tcW w:w="2499" w:type="pct"/>
            <w:vAlign w:val="center"/>
          </w:tcPr>
          <w:p>
            <w:pPr>
              <w:pStyle w:val="42"/>
              <w:jc w:val="both"/>
            </w:pPr>
            <w:r>
              <w:t>已落实。</w:t>
            </w:r>
          </w:p>
          <w:p>
            <w:pPr>
              <w:pStyle w:val="42"/>
              <w:jc w:val="both"/>
            </w:pPr>
            <w:r>
              <w:t>公司在设备选型时，选择低噪声型设备，并对高噪声设备采用安装减震垫、隔声罩，风机安装消声器；加强设备的日常维修、更新，确保设备处于良好的状态下工作；加强车间管理和对操作工人的培训；对生产车间合理布局，高噪声设备设置在生产车间中央，从而使噪声最大限度地随距离自然衰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Align w:val="center"/>
          </w:tcPr>
          <w:p>
            <w:pPr>
              <w:pStyle w:val="30"/>
              <w:rPr>
                <w:rFonts w:eastAsia="宋体" w:cs="Times New Roman"/>
              </w:rPr>
            </w:pPr>
            <w:r>
              <w:rPr>
                <w:rFonts w:eastAsia="宋体" w:cs="Times New Roman"/>
              </w:rPr>
              <w:t>固废</w:t>
            </w:r>
          </w:p>
        </w:tc>
        <w:tc>
          <w:tcPr>
            <w:tcW w:w="2086" w:type="pct"/>
            <w:vAlign w:val="center"/>
          </w:tcPr>
          <w:p>
            <w:pPr>
              <w:pStyle w:val="42"/>
              <w:jc w:val="both"/>
            </w:pPr>
            <w:r>
              <w:t>本项目产生的固体废物主要有废毛纱、回收的纤维尘和职工生活垃圾。</w:t>
            </w:r>
          </w:p>
          <w:p>
            <w:pPr>
              <w:pStyle w:val="42"/>
              <w:jc w:val="both"/>
            </w:pPr>
            <w:r>
              <w:t>废毛纱、回收的纤维尘经收集后外卖综合利用，生活垃圾可委托当地环卫部门及时清运并无害化处理。</w:t>
            </w:r>
          </w:p>
        </w:tc>
        <w:tc>
          <w:tcPr>
            <w:tcW w:w="2499" w:type="pct"/>
            <w:vAlign w:val="center"/>
          </w:tcPr>
          <w:p>
            <w:pPr>
              <w:pStyle w:val="42"/>
              <w:jc w:val="both"/>
            </w:pPr>
            <w:r>
              <w:t>已落实。</w:t>
            </w:r>
          </w:p>
          <w:p>
            <w:pPr>
              <w:pStyle w:val="42"/>
              <w:jc w:val="both"/>
            </w:pPr>
            <w:r>
              <w:t>本项目产生的废毛纱、回收的纤维尘经收集后外卖综合利用，生活垃圾委托当地环卫部门及时清运并无害化处理。</w:t>
            </w:r>
          </w:p>
        </w:tc>
      </w:tr>
    </w:tbl>
    <w:p>
      <w:pPr>
        <w:pStyle w:val="2"/>
        <w:ind w:left="480" w:firstLine="480"/>
        <w:rPr>
          <w:rFonts w:eastAsia="宋体" w:cs="Times New Roman"/>
        </w:rPr>
        <w:sectPr>
          <w:pgSz w:w="11906" w:h="16838"/>
          <w:pgMar w:top="1418" w:right="1701" w:bottom="1418" w:left="1701" w:header="851" w:footer="992" w:gutter="0"/>
          <w:pgNumType w:fmt="numberInDash"/>
          <w:cols w:space="425" w:num="1"/>
          <w:titlePg/>
          <w:docGrid w:type="lines" w:linePitch="312" w:charSpace="0"/>
        </w:sectPr>
      </w:pPr>
    </w:p>
    <w:p>
      <w:pPr>
        <w:pStyle w:val="4"/>
        <w:rPr>
          <w:rFonts w:cs="Times New Roman"/>
        </w:rPr>
      </w:pPr>
      <w:bookmarkStart w:id="35" w:name="_Toc61959002"/>
      <w:bookmarkStart w:id="36" w:name="_Toc515273914"/>
      <w:r>
        <w:rPr>
          <w:rFonts w:cs="Times New Roman"/>
        </w:rPr>
        <w:t>5建设项目环评报告表的主要结论与建议及审批部门审批决定</w:t>
      </w:r>
      <w:bookmarkEnd w:id="35"/>
      <w:bookmarkEnd w:id="36"/>
    </w:p>
    <w:p>
      <w:pPr>
        <w:pStyle w:val="5"/>
        <w:rPr>
          <w:rFonts w:cs="Times New Roman"/>
        </w:rPr>
      </w:pPr>
      <w:bookmarkStart w:id="37" w:name="_Toc515273915"/>
      <w:bookmarkStart w:id="38" w:name="_Toc61959003"/>
      <w:r>
        <w:rPr>
          <w:rFonts w:cs="Times New Roman"/>
        </w:rPr>
        <w:t>5.1建设项目环评报告表的主要结论与建议</w:t>
      </w:r>
      <w:bookmarkEnd w:id="37"/>
      <w:bookmarkEnd w:id="38"/>
    </w:p>
    <w:p>
      <w:pPr>
        <w:ind w:firstLine="0" w:firstLineChars="0"/>
        <w:rPr>
          <w:rFonts w:eastAsia="宋体" w:cs="Times New Roman"/>
          <w:b/>
          <w:bCs/>
        </w:rPr>
      </w:pPr>
      <w:r>
        <w:rPr>
          <w:rFonts w:eastAsia="宋体" w:cs="Times New Roman"/>
          <w:b/>
          <w:bCs/>
        </w:rPr>
        <w:t>5.1.1水环境影响分析</w:t>
      </w:r>
    </w:p>
    <w:p>
      <w:pPr>
        <w:ind w:firstLine="480"/>
        <w:rPr>
          <w:rFonts w:eastAsia="宋体" w:cs="Times New Roman"/>
        </w:rPr>
      </w:pPr>
      <w:r>
        <w:rPr>
          <w:rFonts w:eastAsia="宋体" w:cs="Times New Roman"/>
        </w:rPr>
        <w:t>本项目主要排放生活污水，要求企业实行清污分流、雨污分流；食堂废水经隔油池处置、厕所污水经化粪池处理后和其他废水一起达到入网标准后排入区域污水收集管网，最终经桐乡市濮院恒盛水处理有限公司处理后达标排入钱塘江。这样，可减轻对选址附近水体水质的影响。</w:t>
      </w:r>
    </w:p>
    <w:p>
      <w:pPr>
        <w:ind w:firstLine="0" w:firstLineChars="0"/>
        <w:rPr>
          <w:rFonts w:eastAsia="宋体" w:cs="Times New Roman"/>
          <w:b/>
          <w:bCs/>
        </w:rPr>
      </w:pPr>
      <w:r>
        <w:rPr>
          <w:rFonts w:eastAsia="宋体" w:cs="Times New Roman"/>
          <w:b/>
          <w:bCs/>
        </w:rPr>
        <w:t>5.1.2大气环境影响分析</w:t>
      </w:r>
    </w:p>
    <w:p>
      <w:pPr>
        <w:ind w:firstLine="480"/>
        <w:rPr>
          <w:rFonts w:eastAsia="宋体" w:cs="Times New Roman"/>
        </w:rPr>
      </w:pPr>
      <w:r>
        <w:rPr>
          <w:rFonts w:eastAsia="宋体" w:cs="Times New Roman"/>
        </w:rPr>
        <w:t>本项目在和毛、梳毛等工序中有纤维尘产生，要求企业加强车间通风，在产生纤维尘的设备上均安装吸尘装置，输送管道密闭，收集后的纤维尘经布袋式除尘器净化处理后经高15m以上排气筒高空排放，捕集率96%以上，除尘率98%以上。建议本项目生产车间设置50米的卫生防护距离，建议规划等有关部门在本项目生产车间防护距离范围内不批建住宅、医院、学校和食品企业等大气环境敏感点。</w:t>
      </w:r>
    </w:p>
    <w:p>
      <w:pPr>
        <w:ind w:firstLine="480"/>
        <w:rPr>
          <w:rFonts w:eastAsia="宋体" w:cs="Times New Roman"/>
        </w:rPr>
      </w:pPr>
      <w:r>
        <w:rPr>
          <w:rFonts w:eastAsia="宋体" w:cs="Times New Roman"/>
        </w:rPr>
        <w:t>食堂油烟废气采用DDN型静电式油烟净化装置净化处理后，通过食堂所在的房屋屋顶高空排放，经处理后，油烟废气排放浓度小于2mg/m</w:t>
      </w:r>
      <w:r>
        <w:rPr>
          <w:rFonts w:eastAsia="宋体" w:cs="Times New Roman"/>
          <w:vertAlign w:val="superscript"/>
        </w:rPr>
        <w:t>3</w:t>
      </w:r>
      <w:r>
        <w:rPr>
          <w:rFonts w:eastAsia="宋体" w:cs="Times New Roman"/>
        </w:rPr>
        <w:t>，去除效率大于75%。</w:t>
      </w:r>
    </w:p>
    <w:p>
      <w:pPr>
        <w:ind w:firstLine="480"/>
        <w:rPr>
          <w:rFonts w:eastAsia="宋体" w:cs="Times New Roman"/>
        </w:rPr>
      </w:pPr>
      <w:r>
        <w:rPr>
          <w:rFonts w:eastAsia="宋体" w:cs="Times New Roman"/>
        </w:rPr>
        <w:t>企业在采取以上治理措施后，本项目废气对大气环境影响较小。</w:t>
      </w:r>
    </w:p>
    <w:p>
      <w:pPr>
        <w:ind w:firstLine="0" w:firstLineChars="0"/>
        <w:rPr>
          <w:rFonts w:eastAsia="宋体" w:cs="Times New Roman"/>
          <w:b/>
          <w:bCs/>
        </w:rPr>
      </w:pPr>
      <w:r>
        <w:rPr>
          <w:rFonts w:eastAsia="宋体" w:cs="Times New Roman"/>
          <w:b/>
          <w:bCs/>
        </w:rPr>
        <w:t>5.1.3声环境影响分析结论</w:t>
      </w:r>
    </w:p>
    <w:p>
      <w:pPr>
        <w:ind w:firstLine="480"/>
        <w:rPr>
          <w:rFonts w:eastAsia="宋体" w:cs="Times New Roman"/>
        </w:rPr>
      </w:pPr>
      <w:r>
        <w:rPr>
          <w:rFonts w:eastAsia="宋体" w:cs="Times New Roman"/>
        </w:rPr>
        <w:t>本项目投产后，企业如果不采取措施，生产过程中产生的噪声会对周围环境产生一定影响，在采取本环评要求的噪声冶理措施后，噪声对周围环境的影响不大，周围声环境维持现状。</w:t>
      </w:r>
    </w:p>
    <w:p>
      <w:pPr>
        <w:ind w:firstLine="0" w:firstLineChars="0"/>
        <w:rPr>
          <w:rFonts w:eastAsia="宋体" w:cs="Times New Roman"/>
          <w:b/>
          <w:bCs/>
        </w:rPr>
      </w:pPr>
      <w:r>
        <w:rPr>
          <w:rFonts w:eastAsia="宋体" w:cs="Times New Roman"/>
          <w:b/>
          <w:bCs/>
        </w:rPr>
        <w:t>5.1.4固废影响分析结论</w:t>
      </w:r>
    </w:p>
    <w:p>
      <w:pPr>
        <w:ind w:firstLine="480"/>
        <w:rPr>
          <w:rFonts w:eastAsia="宋体" w:cs="Times New Roman"/>
        </w:rPr>
      </w:pPr>
      <w:r>
        <w:rPr>
          <w:rFonts w:eastAsia="宋体" w:cs="Times New Roman"/>
        </w:rPr>
        <w:t>本项目产生的废毛料、回收的纤维尘经收集后外卖综合利用，生活垃圾可委托环卫部门及时清运处理。在此基础上，固体废物对周围环境无影响。</w:t>
      </w:r>
    </w:p>
    <w:p>
      <w:pPr>
        <w:pStyle w:val="34"/>
        <w:spacing w:before="0" w:line="360" w:lineRule="auto"/>
        <w:ind w:firstLine="0" w:firstLineChars="0"/>
        <w:rPr>
          <w:rFonts w:eastAsia="宋体"/>
          <w:b/>
          <w:bCs/>
        </w:rPr>
      </w:pPr>
      <w:r>
        <w:rPr>
          <w:rFonts w:eastAsia="宋体"/>
          <w:b/>
          <w:bCs/>
        </w:rPr>
        <w:t>5.1.5总量控制分析结论</w:t>
      </w:r>
    </w:p>
    <w:p>
      <w:pPr>
        <w:ind w:firstLine="482"/>
        <w:rPr>
          <w:rFonts w:eastAsia="宋体" w:cs="Times New Roman"/>
          <w:b/>
          <w:bCs/>
        </w:rPr>
      </w:pPr>
      <w:r>
        <w:rPr>
          <w:rFonts w:eastAsia="宋体" w:cs="Times New Roman"/>
          <w:b/>
          <w:bCs/>
        </w:rPr>
        <w:t>1、COD</w:t>
      </w:r>
      <w:r>
        <w:rPr>
          <w:rFonts w:eastAsia="宋体" w:cs="Times New Roman"/>
          <w:b/>
          <w:bCs/>
          <w:vertAlign w:val="subscript"/>
        </w:rPr>
        <w:t>Cr</w:t>
      </w:r>
      <w:r>
        <w:rPr>
          <w:rFonts w:eastAsia="宋体" w:cs="Times New Roman"/>
          <w:b/>
          <w:bCs/>
        </w:rPr>
        <w:t>、NH</w:t>
      </w:r>
      <w:r>
        <w:rPr>
          <w:rFonts w:eastAsia="宋体" w:cs="Times New Roman"/>
          <w:b/>
          <w:bCs/>
          <w:vertAlign w:val="subscript"/>
        </w:rPr>
        <w:t>3</w:t>
      </w:r>
      <w:r>
        <w:rPr>
          <w:rFonts w:eastAsia="宋体" w:cs="Times New Roman"/>
          <w:b/>
          <w:bCs/>
        </w:rPr>
        <w:t>-N总量控制指标</w:t>
      </w:r>
    </w:p>
    <w:p>
      <w:pPr>
        <w:ind w:firstLine="480"/>
        <w:rPr>
          <w:rFonts w:eastAsia="宋体" w:cs="Times New Roman"/>
        </w:rPr>
      </w:pPr>
      <w:r>
        <w:rPr>
          <w:rFonts w:eastAsia="宋体" w:cs="Times New Roman"/>
        </w:rPr>
        <w:t>根据《浙江允源毛纺</w:t>
      </w:r>
      <w:r>
        <w:rPr>
          <w:rFonts w:hint="eastAsia" w:eastAsia="宋体" w:cs="Times New Roman"/>
        </w:rPr>
        <w:t>原料</w:t>
      </w:r>
      <w:r>
        <w:rPr>
          <w:rFonts w:eastAsia="宋体" w:cs="Times New Roman"/>
        </w:rPr>
        <w:t>有限公司年产2000吨毛条新建项目环境影响报告表》，企业生产过程中无生产废水产生，产生的只有职工生活污水，生活污水排放量为2700t/a。企业区域内污水管网已经接通，项目废水可直接实现纳管排放，最终经桐乡市濮院恒盛水处理有限公司处理达到《城镇污水处理厂污染物排放标准》（GB18918-2002）表1中一级A标准（即COD</w:t>
      </w:r>
      <w:r>
        <w:rPr>
          <w:rFonts w:eastAsia="宋体" w:cs="Times New Roman"/>
          <w:vertAlign w:val="subscript"/>
        </w:rPr>
        <w:t>Cr</w:t>
      </w:r>
      <w:r>
        <w:rPr>
          <w:rFonts w:eastAsia="宋体" w:cs="Times New Roman"/>
        </w:rPr>
        <w:t>≤50mg/L、NH</w:t>
      </w:r>
      <w:r>
        <w:rPr>
          <w:rFonts w:eastAsia="宋体" w:cs="Times New Roman"/>
          <w:vertAlign w:val="subscript"/>
        </w:rPr>
        <w:t>3</w:t>
      </w:r>
      <w:r>
        <w:rPr>
          <w:rFonts w:eastAsia="宋体" w:cs="Times New Roman"/>
        </w:rPr>
        <w:t>-N≤5mg/L）后排江。废水中COD</w:t>
      </w:r>
      <w:r>
        <w:rPr>
          <w:rFonts w:eastAsia="宋体" w:cs="Times New Roman"/>
          <w:vertAlign w:val="subscript"/>
        </w:rPr>
        <w:t>Cr</w:t>
      </w:r>
      <w:r>
        <w:rPr>
          <w:rFonts w:eastAsia="宋体" w:cs="Times New Roman"/>
        </w:rPr>
        <w:t>和氨氮污染物排放量为：0.135t/a和0.014t/a，建议将上述达标排放量作为总量控制指标。</w:t>
      </w:r>
    </w:p>
    <w:p>
      <w:pPr>
        <w:ind w:firstLine="480"/>
        <w:rPr>
          <w:rFonts w:eastAsia="宋体" w:cs="Times New Roman"/>
        </w:rPr>
      </w:pPr>
      <w:bookmarkStart w:id="39" w:name="_Hlk82095034"/>
      <w:r>
        <w:rPr>
          <w:rFonts w:eastAsia="宋体" w:cs="Times New Roman"/>
        </w:rPr>
        <w:t>根据关于印发《浙江省建设项目主要污染物总量准入审核办法（试行）》的通知（浙环发[2012]10号），新建、改建、扩建项目不排放生产废水且排放的水主要污染物仅源自厂区内独立生活区域所排放生活污水的，其新增的化学需氧量和氨氮两项主要污染物排放量可不进行区域替代削减。</w:t>
      </w:r>
    </w:p>
    <w:bookmarkEnd w:id="39"/>
    <w:p>
      <w:pPr>
        <w:pStyle w:val="31"/>
        <w:spacing w:before="62" w:after="31"/>
        <w:rPr>
          <w:rFonts w:eastAsia="宋体"/>
        </w:rPr>
      </w:pPr>
      <w:r>
        <w:rPr>
          <w:rFonts w:eastAsia="宋体"/>
        </w:rPr>
        <w:t>表5-1  污染物排放总量控制指标表  单位：t/a</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1434"/>
        <w:gridCol w:w="1434"/>
        <w:gridCol w:w="1434"/>
        <w:gridCol w:w="1434"/>
        <w:gridCol w:w="1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pct"/>
            <w:vAlign w:val="center"/>
          </w:tcPr>
          <w:p>
            <w:pPr>
              <w:pStyle w:val="42"/>
              <w:rPr>
                <w:b/>
                <w:bCs/>
              </w:rPr>
            </w:pPr>
            <w:r>
              <w:rPr>
                <w:b/>
                <w:bCs/>
              </w:rPr>
              <w:t>污染物</w:t>
            </w:r>
          </w:p>
        </w:tc>
        <w:tc>
          <w:tcPr>
            <w:tcW w:w="822" w:type="pct"/>
            <w:vAlign w:val="center"/>
          </w:tcPr>
          <w:p>
            <w:pPr>
              <w:pStyle w:val="42"/>
              <w:rPr>
                <w:b/>
                <w:bCs/>
              </w:rPr>
            </w:pPr>
            <w:r>
              <w:rPr>
                <w:b/>
                <w:bCs/>
              </w:rPr>
              <w:t>原有项目排放量</w:t>
            </w:r>
          </w:p>
        </w:tc>
        <w:tc>
          <w:tcPr>
            <w:tcW w:w="822" w:type="pct"/>
            <w:vAlign w:val="center"/>
          </w:tcPr>
          <w:p>
            <w:pPr>
              <w:pStyle w:val="42"/>
              <w:rPr>
                <w:b/>
                <w:bCs/>
              </w:rPr>
            </w:pPr>
            <w:r>
              <w:rPr>
                <w:b/>
                <w:bCs/>
              </w:rPr>
              <w:t>本项目排放量</w:t>
            </w:r>
          </w:p>
        </w:tc>
        <w:tc>
          <w:tcPr>
            <w:tcW w:w="822" w:type="pct"/>
            <w:vAlign w:val="center"/>
          </w:tcPr>
          <w:p>
            <w:pPr>
              <w:pStyle w:val="42"/>
              <w:rPr>
                <w:b/>
                <w:bCs/>
              </w:rPr>
            </w:pPr>
            <w:r>
              <w:rPr>
                <w:b/>
                <w:bCs/>
              </w:rPr>
              <w:t>区域削减量</w:t>
            </w:r>
          </w:p>
        </w:tc>
        <w:tc>
          <w:tcPr>
            <w:tcW w:w="822" w:type="pct"/>
            <w:vAlign w:val="center"/>
          </w:tcPr>
          <w:p>
            <w:pPr>
              <w:pStyle w:val="42"/>
              <w:rPr>
                <w:b/>
                <w:bCs/>
              </w:rPr>
            </w:pPr>
            <w:r>
              <w:rPr>
                <w:b/>
                <w:bCs/>
              </w:rPr>
              <w:t>削减替代来源</w:t>
            </w:r>
          </w:p>
        </w:tc>
        <w:tc>
          <w:tcPr>
            <w:tcW w:w="823" w:type="pct"/>
            <w:vAlign w:val="center"/>
          </w:tcPr>
          <w:p>
            <w:pPr>
              <w:pStyle w:val="42"/>
              <w:rPr>
                <w:b/>
                <w:bCs/>
              </w:rPr>
            </w:pPr>
            <w:r>
              <w:rPr>
                <w:b/>
                <w:bCs/>
              </w:rPr>
              <w:t>建议总量控制指标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pct"/>
            <w:vAlign w:val="center"/>
          </w:tcPr>
          <w:p>
            <w:pPr>
              <w:pStyle w:val="42"/>
            </w:pPr>
            <w:r>
              <w:t>COD</w:t>
            </w:r>
            <w:r>
              <w:rPr>
                <w:vertAlign w:val="subscript"/>
              </w:rPr>
              <w:t>Cr</w:t>
            </w:r>
          </w:p>
        </w:tc>
        <w:tc>
          <w:tcPr>
            <w:tcW w:w="822" w:type="pct"/>
            <w:vAlign w:val="center"/>
          </w:tcPr>
          <w:p>
            <w:pPr>
              <w:pStyle w:val="42"/>
            </w:pPr>
            <w:r>
              <w:t>/</w:t>
            </w:r>
          </w:p>
        </w:tc>
        <w:tc>
          <w:tcPr>
            <w:tcW w:w="822" w:type="pct"/>
            <w:vAlign w:val="center"/>
          </w:tcPr>
          <w:p>
            <w:pPr>
              <w:pStyle w:val="42"/>
            </w:pPr>
            <w:r>
              <w:t>0.135</w:t>
            </w:r>
          </w:p>
        </w:tc>
        <w:tc>
          <w:tcPr>
            <w:tcW w:w="822" w:type="pct"/>
            <w:vAlign w:val="center"/>
          </w:tcPr>
          <w:p>
            <w:pPr>
              <w:pStyle w:val="42"/>
            </w:pPr>
            <w:r>
              <w:t>/</w:t>
            </w:r>
          </w:p>
        </w:tc>
        <w:tc>
          <w:tcPr>
            <w:tcW w:w="822" w:type="pct"/>
            <w:vAlign w:val="center"/>
          </w:tcPr>
          <w:p>
            <w:pPr>
              <w:pStyle w:val="42"/>
            </w:pPr>
            <w:r>
              <w:t>/</w:t>
            </w:r>
          </w:p>
        </w:tc>
        <w:tc>
          <w:tcPr>
            <w:tcW w:w="823" w:type="pct"/>
            <w:vAlign w:val="center"/>
          </w:tcPr>
          <w:p>
            <w:pPr>
              <w:pStyle w:val="42"/>
            </w:pPr>
            <w:r>
              <w:t>0.135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pct"/>
            <w:vAlign w:val="center"/>
          </w:tcPr>
          <w:p>
            <w:pPr>
              <w:pStyle w:val="42"/>
            </w:pPr>
            <w:r>
              <w:t>NH</w:t>
            </w:r>
            <w:r>
              <w:rPr>
                <w:vertAlign w:val="subscript"/>
              </w:rPr>
              <w:t>3</w:t>
            </w:r>
            <w:r>
              <w:t>-N</w:t>
            </w:r>
          </w:p>
        </w:tc>
        <w:tc>
          <w:tcPr>
            <w:tcW w:w="822" w:type="pct"/>
            <w:vAlign w:val="center"/>
          </w:tcPr>
          <w:p>
            <w:pPr>
              <w:pStyle w:val="42"/>
            </w:pPr>
            <w:r>
              <w:t>/</w:t>
            </w:r>
          </w:p>
        </w:tc>
        <w:tc>
          <w:tcPr>
            <w:tcW w:w="822" w:type="pct"/>
            <w:vAlign w:val="center"/>
          </w:tcPr>
          <w:p>
            <w:pPr>
              <w:pStyle w:val="42"/>
            </w:pPr>
            <w:r>
              <w:t>0.014</w:t>
            </w:r>
          </w:p>
        </w:tc>
        <w:tc>
          <w:tcPr>
            <w:tcW w:w="822" w:type="pct"/>
            <w:vAlign w:val="center"/>
          </w:tcPr>
          <w:p>
            <w:pPr>
              <w:pStyle w:val="42"/>
            </w:pPr>
            <w:r>
              <w:t>/</w:t>
            </w:r>
          </w:p>
        </w:tc>
        <w:tc>
          <w:tcPr>
            <w:tcW w:w="822" w:type="pct"/>
            <w:vAlign w:val="center"/>
          </w:tcPr>
          <w:p>
            <w:pPr>
              <w:pStyle w:val="42"/>
            </w:pPr>
            <w:r>
              <w:t>/</w:t>
            </w:r>
          </w:p>
        </w:tc>
        <w:tc>
          <w:tcPr>
            <w:tcW w:w="823" w:type="pct"/>
            <w:vAlign w:val="center"/>
          </w:tcPr>
          <w:p>
            <w:pPr>
              <w:pStyle w:val="42"/>
            </w:pPr>
            <w:r>
              <w:t>0.014</w:t>
            </w:r>
          </w:p>
        </w:tc>
      </w:tr>
    </w:tbl>
    <w:p>
      <w:pPr>
        <w:ind w:firstLine="480"/>
        <w:rPr>
          <w:rFonts w:eastAsia="宋体" w:cs="Times New Roman"/>
        </w:rPr>
      </w:pPr>
      <w:r>
        <w:rPr>
          <w:rFonts w:eastAsia="宋体" w:cs="Times New Roman"/>
        </w:rPr>
        <w:t>在此基础上，本项目符合总量控制要求。</w:t>
      </w:r>
    </w:p>
    <w:p>
      <w:pPr>
        <w:pStyle w:val="34"/>
        <w:spacing w:before="0" w:line="360" w:lineRule="auto"/>
        <w:ind w:firstLine="0" w:firstLineChars="0"/>
        <w:rPr>
          <w:rFonts w:eastAsia="宋体"/>
          <w:b/>
          <w:bCs/>
        </w:rPr>
      </w:pPr>
      <w:r>
        <w:rPr>
          <w:rFonts w:eastAsia="宋体"/>
          <w:b/>
          <w:bCs/>
        </w:rPr>
        <w:t>5.1.6总结论</w:t>
      </w:r>
    </w:p>
    <w:p>
      <w:pPr>
        <w:ind w:firstLine="480"/>
        <w:rPr>
          <w:rFonts w:eastAsia="宋体" w:cs="Times New Roman"/>
        </w:rPr>
      </w:pPr>
      <w:bookmarkStart w:id="40" w:name="_Toc515273916"/>
      <w:r>
        <w:rPr>
          <w:rFonts w:eastAsia="宋体" w:cs="Times New Roman"/>
        </w:rPr>
        <w:t>浙江允源毛纺股份有限公司年产2000吨毛条新建项目选址合理，符合国家及地区产业政策，项目污染物在达标排放情况下对周围环境影响较小，区域环境质量能维持现状，只要厂方重视环保工作，认真落实评价提出的各项污染防治对策，加强对污染物的治理工作，加强对各类污染源的管理，落实环保治理所需要的资金，则该项目的实施，可以做到在较高的生产效益的同时，又能达到环境保护的目标。因此该项目从环保角度来说是可行的。</w:t>
      </w:r>
    </w:p>
    <w:p>
      <w:pPr>
        <w:pStyle w:val="5"/>
        <w:rPr>
          <w:rFonts w:cs="Times New Roman"/>
          <w:szCs w:val="24"/>
        </w:rPr>
      </w:pPr>
      <w:bookmarkStart w:id="41" w:name="_Toc61959004"/>
      <w:r>
        <w:rPr>
          <w:rFonts w:cs="Times New Roman"/>
          <w:szCs w:val="24"/>
        </w:rPr>
        <w:t>5.2审批部门审批决定</w:t>
      </w:r>
      <w:bookmarkEnd w:id="40"/>
      <w:bookmarkEnd w:id="41"/>
    </w:p>
    <w:p>
      <w:pPr>
        <w:ind w:firstLine="480"/>
        <w:rPr>
          <w:rFonts w:eastAsia="宋体" w:cs="Times New Roman"/>
        </w:rPr>
      </w:pPr>
      <w:r>
        <w:rPr>
          <w:rFonts w:eastAsia="宋体" w:cs="Times New Roman"/>
        </w:rPr>
        <w:t>2018年10月24日，嘉兴市生态环境局桐乡分局出具了关于《浙江允源毛纺原料有限公司年产2000吨毛条新建项目环境影响报告表》的审查意见（嘉环桐建[2018]0138号），具体内容如下：</w:t>
      </w:r>
    </w:p>
    <w:p>
      <w:pPr>
        <w:ind w:firstLine="480"/>
        <w:rPr>
          <w:rFonts w:eastAsia="宋体" w:cs="Times New Roman"/>
        </w:rPr>
      </w:pPr>
      <w:r>
        <w:rPr>
          <w:rFonts w:eastAsia="宋体" w:cs="Times New Roman"/>
        </w:rPr>
        <w:t>你单位委托浙江爱</w:t>
      </w:r>
      <w:r>
        <w:rPr>
          <w:rFonts w:hint="eastAsia" w:eastAsia="宋体" w:cs="Times New Roman"/>
        </w:rPr>
        <w:t>闻</w:t>
      </w:r>
      <w:r>
        <w:rPr>
          <w:rFonts w:eastAsia="宋体" w:cs="Times New Roman"/>
        </w:rPr>
        <w:t>格环保科技有限公司编制的《浙江允源毛纺原料有限公司年产2000吨毛条新建项目环境影响报告表》(以下简称《环境影响报告表》)收悉。根据《中华人民共和国环境影响评价法》、《建设项目环境保护管理条例》，经研究，我局审查意见如下:</w:t>
      </w:r>
    </w:p>
    <w:p>
      <w:pPr>
        <w:ind w:firstLine="480"/>
        <w:rPr>
          <w:rFonts w:eastAsia="宋体" w:cs="Times New Roman"/>
        </w:rPr>
      </w:pPr>
      <w:r>
        <w:rPr>
          <w:rFonts w:eastAsia="宋体" w:cs="Times New Roman"/>
        </w:rPr>
        <w:t>一、根据《环境影响报告表》结论，原则同意你单位在桐乡市濮院镇工业园区（南巿河东侧、320国道南侧）实施新建项目。项目总投资4971.8万元，其中环保投资25万元，建设内容为年产2000吨毛条，新征用地面积4538.49平方米，新建建筑面积15800平方米。项目建设要严格按照《环境影响报告表》所列的规模、采用的生产工艺、环保对策措施及下述要求进行，不得擅自变更建设内容。项目建设地点、产品结构、生产工艺和生产设备若发生重大变更，必须重新依法报批。</w:t>
      </w:r>
    </w:p>
    <w:p>
      <w:pPr>
        <w:ind w:firstLine="480"/>
        <w:rPr>
          <w:rFonts w:eastAsia="宋体" w:cs="Times New Roman"/>
        </w:rPr>
      </w:pPr>
      <w:r>
        <w:rPr>
          <w:rFonts w:eastAsia="宋体" w:cs="Times New Roman"/>
        </w:rPr>
        <w:t>二、项目必须采用先进、可靠的技术和装备，全面实施清洁生产，降低单耗。提高物料利用率，从源头减少污染物的产生。在工程设计﹑建设和运行过程中认真落实环评提出的各项污染防治措施，重点做好以下工作：</w:t>
      </w:r>
    </w:p>
    <w:p>
      <w:pPr>
        <w:ind w:firstLine="480"/>
        <w:rPr>
          <w:rFonts w:eastAsia="宋体" w:cs="Times New Roman"/>
        </w:rPr>
      </w:pPr>
      <w:r>
        <w:rPr>
          <w:rFonts w:eastAsia="宋体" w:cs="Times New Roman"/>
        </w:rPr>
        <w:t>(一）废水防治方面</w:t>
      </w:r>
    </w:p>
    <w:p>
      <w:pPr>
        <w:ind w:firstLine="480"/>
        <w:rPr>
          <w:rFonts w:eastAsia="宋体" w:cs="Times New Roman"/>
        </w:rPr>
      </w:pPr>
      <w:r>
        <w:rPr>
          <w:rFonts w:eastAsia="宋体" w:cs="Times New Roman"/>
        </w:rPr>
        <w:t>要求企业实行清污分流、雨污分流；施工期废水除回用外，需全部纳入管网；食堂废水经隔油池处置、厕所污水经化粪池处置后和其他废水一起达到入网标准后排入区域污水收集管网，入网标准执行《污水综合排放标准》（GB8978-1996）中的三级标准，氨氮、总磷的入网标准执行《工业企业废水氮、磷污染物间接排放限值》（DB33/887-2013），废水最终经桐乡市濮院恒盛水处理有限公司处理后达标排放，在当地不得另设排放口。</w:t>
      </w:r>
    </w:p>
    <w:p>
      <w:pPr>
        <w:ind w:firstLine="480"/>
        <w:rPr>
          <w:rFonts w:eastAsia="宋体" w:cs="Times New Roman"/>
        </w:rPr>
      </w:pPr>
      <w:r>
        <w:rPr>
          <w:rFonts w:eastAsia="宋体" w:cs="Times New Roman"/>
        </w:rPr>
        <w:t>( 二）废气防治方面</w:t>
      </w:r>
    </w:p>
    <w:p>
      <w:pPr>
        <w:ind w:firstLine="480"/>
        <w:rPr>
          <w:rFonts w:eastAsia="宋体" w:cs="Times New Roman"/>
        </w:rPr>
      </w:pPr>
      <w:r>
        <w:rPr>
          <w:rFonts w:eastAsia="宋体" w:cs="Times New Roman"/>
        </w:rPr>
        <w:t>加强对施工期大气污染物的防治，减少对环境的污染；加强生产车间通风，在产生纤维尘的设备上均安装吸尘装置，输送管道密闭，收集后的纤维尘经布袋式除尘器净化处理后屋顶高空排放，要求企业采用DDN型静电式油烟净化装置净化处理后屋顶高空排放，油烟废气排放执行GB18483-2001《饮食业油烟排放标准(试行)》中相关标准。</w:t>
      </w:r>
    </w:p>
    <w:p>
      <w:pPr>
        <w:ind w:firstLine="480"/>
        <w:rPr>
          <w:rFonts w:eastAsia="宋体" w:cs="Times New Roman"/>
        </w:rPr>
      </w:pPr>
      <w:r>
        <w:rPr>
          <w:rFonts w:eastAsia="宋体" w:cs="Times New Roman"/>
        </w:rPr>
        <w:t>(三）噪声防治方面</w:t>
      </w:r>
    </w:p>
    <w:p>
      <w:pPr>
        <w:ind w:firstLine="480"/>
        <w:rPr>
          <w:rFonts w:eastAsia="宋体" w:cs="Times New Roman"/>
        </w:rPr>
      </w:pPr>
      <w:r>
        <w:rPr>
          <w:rFonts w:eastAsia="宋体" w:cs="Times New Roman"/>
        </w:rPr>
        <w:t>加强施工期噪声防护，要求执行《建筑施工场界环境噪声排放标准》(GB12523-2011)中相关标准；营运期要求厂区建设应合理布局，选择低噪声设备，加强设备隔声降噪处理，加强维修保养措施，厂界噪声排放执行《工业企业厂界环境噪声排放标准》（GB12348-2008）中的3类标准。</w:t>
      </w:r>
    </w:p>
    <w:p>
      <w:pPr>
        <w:ind w:firstLine="480"/>
        <w:rPr>
          <w:rFonts w:eastAsia="宋体" w:cs="Times New Roman"/>
        </w:rPr>
      </w:pPr>
      <w:r>
        <w:rPr>
          <w:rFonts w:eastAsia="宋体" w:cs="Times New Roman"/>
        </w:rPr>
        <w:t>(四）固废防治方面</w:t>
      </w:r>
    </w:p>
    <w:p>
      <w:pPr>
        <w:ind w:firstLine="480"/>
        <w:rPr>
          <w:rFonts w:eastAsia="宋体" w:cs="Times New Roman"/>
        </w:rPr>
      </w:pPr>
      <w:r>
        <w:rPr>
          <w:rFonts w:eastAsia="宋体" w:cs="Times New Roman"/>
        </w:rPr>
        <w:t>项目产生的固体废弃物应按危险废物和一般废物进行分类、分质处置，按照“资源化、减量化、无害化”原则，提高资源综合利用率。妥善外置好施工期固废，以免产生二次污染；营运期回收的纤维尘、废纱线收集后外卖综合利用；生活垃圾由环卫部门统一清运。</w:t>
      </w:r>
    </w:p>
    <w:p>
      <w:pPr>
        <w:ind w:firstLine="480"/>
        <w:rPr>
          <w:rFonts w:eastAsia="宋体" w:cs="Times New Roman"/>
        </w:rPr>
      </w:pPr>
      <w:r>
        <w:rPr>
          <w:rFonts w:eastAsia="宋体" w:cs="Times New Roman"/>
        </w:rPr>
        <w:t>三、请环保五所做好建设项目施工期间的环境保护和配套建设的污染防治措施落实情况的督查检查工作。</w:t>
      </w:r>
    </w:p>
    <w:p>
      <w:pPr>
        <w:ind w:firstLine="480"/>
        <w:rPr>
          <w:rFonts w:eastAsia="宋体" w:cs="Times New Roman"/>
        </w:rPr>
      </w:pPr>
      <w:r>
        <w:rPr>
          <w:rFonts w:eastAsia="宋体" w:cs="Times New Roman"/>
        </w:rPr>
        <w:t>四、该项目在设计、施工、运行过程中必须严格按《建设项目环境保护管理条例》有关规定，落实环评报告表中有关防治措施，加强环境管理，严格执行环保“三同时”制度，须按规定程序进行建设项目环境保护设施竣工验收，经验收合格后建设项目方可正式投入生产。</w:t>
      </w:r>
    </w:p>
    <w:p>
      <w:pPr>
        <w:ind w:firstLine="480"/>
        <w:rPr>
          <w:rFonts w:eastAsia="宋体" w:cs="Times New Roman"/>
        </w:rPr>
      </w:pPr>
    </w:p>
    <w:p>
      <w:pPr>
        <w:pStyle w:val="4"/>
        <w:rPr>
          <w:rFonts w:cs="Times New Roman"/>
        </w:rPr>
        <w:sectPr>
          <w:pgSz w:w="11906" w:h="16838"/>
          <w:pgMar w:top="1418" w:right="1701" w:bottom="1418" w:left="1701" w:header="851" w:footer="992" w:gutter="0"/>
          <w:pgNumType w:fmt="numberInDash"/>
          <w:cols w:space="425" w:num="1"/>
          <w:docGrid w:type="lines" w:linePitch="312" w:charSpace="0"/>
        </w:sectPr>
      </w:pPr>
      <w:bookmarkStart w:id="42" w:name="_Toc61959005"/>
      <w:bookmarkStart w:id="43" w:name="_Toc515273917"/>
    </w:p>
    <w:p>
      <w:pPr>
        <w:pStyle w:val="4"/>
        <w:rPr>
          <w:rFonts w:cs="Times New Roman"/>
        </w:rPr>
      </w:pPr>
      <w:r>
        <w:rPr>
          <w:rFonts w:cs="Times New Roman"/>
        </w:rPr>
        <w:t>6验收执行标准</w:t>
      </w:r>
      <w:bookmarkEnd w:id="42"/>
      <w:bookmarkEnd w:id="43"/>
    </w:p>
    <w:p>
      <w:pPr>
        <w:pStyle w:val="5"/>
        <w:rPr>
          <w:rFonts w:cs="Times New Roman"/>
        </w:rPr>
      </w:pPr>
      <w:bookmarkStart w:id="44" w:name="_Toc61959006"/>
      <w:bookmarkStart w:id="45" w:name="_Toc9526"/>
      <w:bookmarkStart w:id="46" w:name="_Toc20673"/>
      <w:bookmarkStart w:id="47" w:name="_Toc20303"/>
      <w:r>
        <w:rPr>
          <w:rFonts w:cs="Times New Roman"/>
        </w:rPr>
        <w:t>6.1废水</w:t>
      </w:r>
      <w:bookmarkEnd w:id="44"/>
      <w:bookmarkEnd w:id="45"/>
      <w:bookmarkEnd w:id="46"/>
      <w:bookmarkEnd w:id="47"/>
    </w:p>
    <w:p>
      <w:pPr>
        <w:ind w:firstLine="480"/>
        <w:rPr>
          <w:rFonts w:eastAsia="宋体" w:cs="Times New Roman"/>
        </w:rPr>
      </w:pPr>
      <w:r>
        <w:rPr>
          <w:rFonts w:eastAsia="宋体" w:cs="Times New Roman"/>
        </w:rPr>
        <w:t>本项目不产生生产废水，产生的废水仅为员工生活污水，经化粪池、隔油池预处理达到《污水综合排放标准》（GB8978-1996）表4中的三级标准及《工业企业废水氮、磷污染物间接排放限值》（DB33/887-2013）表1中工业企业水污染物间接排放限值相关规定后纳入市政污水管网，最终由</w:t>
      </w:r>
      <w:r>
        <w:rPr>
          <w:rFonts w:hint="eastAsia" w:eastAsia="宋体" w:cs="Times New Roman"/>
        </w:rPr>
        <w:t>桐乡市城市污水处理有限责任公司</w:t>
      </w:r>
      <w:r>
        <w:rPr>
          <w:rFonts w:eastAsia="宋体" w:cs="Times New Roman"/>
        </w:rPr>
        <w:t>集中处理达GB18918-2002《城镇污水处理厂污染物排放标准》表1中一级A标准后排放钱塘江。具体指标见表6-1。</w:t>
      </w:r>
    </w:p>
    <w:p>
      <w:pPr>
        <w:pStyle w:val="31"/>
        <w:spacing w:before="62" w:after="31"/>
        <w:rPr>
          <w:rFonts w:eastAsia="宋体"/>
        </w:rPr>
      </w:pPr>
      <w:r>
        <w:rPr>
          <w:rFonts w:eastAsia="宋体"/>
        </w:rPr>
        <w:t>表6-1  水污染物排放标准（单位：mg/L，pH除外）</w:t>
      </w:r>
    </w:p>
    <w:tbl>
      <w:tblPr>
        <w:tblStyle w:val="21"/>
        <w:tblW w:w="5000" w:type="pct"/>
        <w:jc w:val="center"/>
        <w:tblLayout w:type="autofit"/>
        <w:tblCellMar>
          <w:top w:w="0" w:type="dxa"/>
          <w:left w:w="0" w:type="dxa"/>
          <w:bottom w:w="0" w:type="dxa"/>
          <w:right w:w="0" w:type="dxa"/>
        </w:tblCellMar>
      </w:tblPr>
      <w:tblGrid>
        <w:gridCol w:w="1578"/>
        <w:gridCol w:w="867"/>
        <w:gridCol w:w="1221"/>
        <w:gridCol w:w="1110"/>
        <w:gridCol w:w="1180"/>
        <w:gridCol w:w="1279"/>
        <w:gridCol w:w="1279"/>
      </w:tblGrid>
      <w:tr>
        <w:tblPrEx>
          <w:tblCellMar>
            <w:top w:w="0" w:type="dxa"/>
            <w:left w:w="0" w:type="dxa"/>
            <w:bottom w:w="0" w:type="dxa"/>
            <w:right w:w="0" w:type="dxa"/>
          </w:tblCellMar>
        </w:tblPrEx>
        <w:trPr>
          <w:trHeight w:val="340" w:hRule="atLeast"/>
          <w:jc w:val="center"/>
        </w:trPr>
        <w:tc>
          <w:tcPr>
            <w:tcW w:w="927"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b/>
                <w:bCs/>
              </w:rPr>
            </w:pPr>
            <w:r>
              <w:rPr>
                <w:rFonts w:eastAsia="宋体" w:cs="Times New Roman"/>
                <w:b/>
                <w:bCs/>
              </w:rPr>
              <w:t>标 准</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b/>
                <w:bCs/>
              </w:rPr>
            </w:pPr>
            <w:r>
              <w:rPr>
                <w:rFonts w:eastAsia="宋体" w:cs="Times New Roman"/>
                <w:b/>
                <w:bCs/>
              </w:rPr>
              <w:t>pH</w:t>
            </w:r>
          </w:p>
        </w:tc>
        <w:tc>
          <w:tcPr>
            <w:tcW w:w="717"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b/>
                <w:bCs/>
              </w:rPr>
            </w:pPr>
            <w:r>
              <w:rPr>
                <w:rFonts w:eastAsia="宋体" w:cs="Times New Roman"/>
                <w:b/>
                <w:bCs/>
              </w:rPr>
              <w:t>COD</w:t>
            </w:r>
            <w:r>
              <w:rPr>
                <w:rFonts w:eastAsia="宋体" w:cs="Times New Roman"/>
                <w:b/>
                <w:bCs/>
                <w:vertAlign w:val="subscript"/>
              </w:rPr>
              <w:t>Cr</w:t>
            </w:r>
          </w:p>
        </w:tc>
        <w:tc>
          <w:tcPr>
            <w:tcW w:w="652"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b/>
                <w:bCs/>
              </w:rPr>
            </w:pPr>
            <w:r>
              <w:rPr>
                <w:rFonts w:eastAsia="宋体" w:cs="Times New Roman"/>
                <w:b/>
                <w:bCs/>
              </w:rPr>
              <w:t>SS</w:t>
            </w:r>
          </w:p>
        </w:tc>
        <w:tc>
          <w:tcPr>
            <w:tcW w:w="693"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b/>
                <w:bCs/>
              </w:rPr>
            </w:pPr>
            <w:r>
              <w:rPr>
                <w:rFonts w:eastAsia="宋体" w:cs="Times New Roman"/>
                <w:b/>
                <w:bCs/>
              </w:rPr>
              <w:t>NH</w:t>
            </w:r>
            <w:r>
              <w:rPr>
                <w:rFonts w:eastAsia="宋体" w:cs="Times New Roman"/>
                <w:b/>
                <w:bCs/>
                <w:vertAlign w:val="subscript"/>
              </w:rPr>
              <w:t>3</w:t>
            </w:r>
            <w:r>
              <w:rPr>
                <w:rFonts w:eastAsia="宋体" w:cs="Times New Roman"/>
                <w:b/>
                <w:bCs/>
              </w:rPr>
              <w:t>-N</w:t>
            </w:r>
          </w:p>
        </w:tc>
        <w:tc>
          <w:tcPr>
            <w:tcW w:w="751"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b/>
                <w:bCs/>
              </w:rPr>
            </w:pPr>
            <w:r>
              <w:rPr>
                <w:rFonts w:eastAsia="宋体" w:cs="Times New Roman"/>
                <w:b/>
                <w:bCs/>
              </w:rPr>
              <w:t>BOD</w:t>
            </w:r>
            <w:r>
              <w:rPr>
                <w:rFonts w:eastAsia="宋体" w:cs="Times New Roman"/>
                <w:b/>
                <w:bCs/>
                <w:vertAlign w:val="subscript"/>
              </w:rPr>
              <w:t>5</w:t>
            </w:r>
          </w:p>
        </w:tc>
        <w:tc>
          <w:tcPr>
            <w:tcW w:w="751"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b/>
                <w:bCs/>
              </w:rPr>
            </w:pPr>
            <w:r>
              <w:rPr>
                <w:rFonts w:eastAsia="宋体" w:cs="Times New Roman"/>
                <w:b/>
                <w:bCs/>
              </w:rPr>
              <w:t>总磷</w:t>
            </w:r>
          </w:p>
        </w:tc>
      </w:tr>
      <w:tr>
        <w:trPr>
          <w:trHeight w:val="340" w:hRule="atLeast"/>
          <w:jc w:val="center"/>
        </w:trPr>
        <w:tc>
          <w:tcPr>
            <w:tcW w:w="927"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入网标准</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6~9</w:t>
            </w:r>
          </w:p>
        </w:tc>
        <w:tc>
          <w:tcPr>
            <w:tcW w:w="717"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≤500</w:t>
            </w:r>
          </w:p>
        </w:tc>
        <w:tc>
          <w:tcPr>
            <w:tcW w:w="652"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≤400</w:t>
            </w:r>
          </w:p>
        </w:tc>
        <w:tc>
          <w:tcPr>
            <w:tcW w:w="693"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≤35*</w:t>
            </w:r>
          </w:p>
        </w:tc>
        <w:tc>
          <w:tcPr>
            <w:tcW w:w="751"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≤300</w:t>
            </w:r>
          </w:p>
        </w:tc>
        <w:tc>
          <w:tcPr>
            <w:tcW w:w="751"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≤8*</w:t>
            </w:r>
          </w:p>
        </w:tc>
      </w:tr>
      <w:tr>
        <w:tblPrEx>
          <w:tblCellMar>
            <w:top w:w="0" w:type="dxa"/>
            <w:left w:w="0" w:type="dxa"/>
            <w:bottom w:w="0" w:type="dxa"/>
            <w:right w:w="0" w:type="dxa"/>
          </w:tblCellMar>
        </w:tblPrEx>
        <w:trPr>
          <w:trHeight w:val="340" w:hRule="atLeast"/>
          <w:jc w:val="center"/>
        </w:trPr>
        <w:tc>
          <w:tcPr>
            <w:tcW w:w="927"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排放标准</w:t>
            </w:r>
          </w:p>
        </w:tc>
        <w:tc>
          <w:tcPr>
            <w:tcW w:w="509"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6~9</w:t>
            </w:r>
          </w:p>
        </w:tc>
        <w:tc>
          <w:tcPr>
            <w:tcW w:w="717"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≤50</w:t>
            </w:r>
          </w:p>
        </w:tc>
        <w:tc>
          <w:tcPr>
            <w:tcW w:w="652"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≤10</w:t>
            </w:r>
          </w:p>
        </w:tc>
        <w:tc>
          <w:tcPr>
            <w:tcW w:w="693"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≤5（8）**</w:t>
            </w:r>
          </w:p>
        </w:tc>
        <w:tc>
          <w:tcPr>
            <w:tcW w:w="751"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≤10</w:t>
            </w:r>
          </w:p>
        </w:tc>
        <w:tc>
          <w:tcPr>
            <w:tcW w:w="751" w:type="pct"/>
            <w:tcBorders>
              <w:top w:val="single" w:color="000000" w:sz="4" w:space="0"/>
              <w:left w:val="single" w:color="000000" w:sz="4" w:space="0"/>
              <w:bottom w:val="single" w:color="000000" w:sz="4" w:space="0"/>
              <w:right w:val="single" w:color="000000" w:sz="4" w:space="0"/>
            </w:tcBorders>
            <w:vAlign w:val="center"/>
          </w:tcPr>
          <w:p>
            <w:pPr>
              <w:pStyle w:val="30"/>
              <w:rPr>
                <w:rFonts w:eastAsia="宋体" w:cs="Times New Roman"/>
              </w:rPr>
            </w:pPr>
            <w:r>
              <w:rPr>
                <w:rFonts w:eastAsia="宋体" w:cs="Times New Roman"/>
              </w:rPr>
              <w:t>≤0.5</w:t>
            </w:r>
          </w:p>
        </w:tc>
      </w:tr>
      <w:tr>
        <w:tblPrEx>
          <w:tblCellMar>
            <w:top w:w="0" w:type="dxa"/>
            <w:left w:w="0" w:type="dxa"/>
            <w:bottom w:w="0" w:type="dxa"/>
            <w:right w:w="0" w:type="dxa"/>
          </w:tblCellMar>
        </w:tblPrEx>
        <w:trPr>
          <w:trHeight w:val="340" w:hRule="atLeast"/>
          <w:jc w:val="center"/>
        </w:trPr>
        <w:tc>
          <w:tcPr>
            <w:tcW w:w="5000" w:type="pct"/>
            <w:gridSpan w:val="7"/>
            <w:tcBorders>
              <w:top w:val="single" w:color="000000" w:sz="4" w:space="0"/>
              <w:left w:val="single" w:color="000000" w:sz="4" w:space="0"/>
              <w:bottom w:val="single" w:color="000000" w:sz="4" w:space="0"/>
              <w:right w:val="single" w:color="000000" w:sz="4" w:space="0"/>
            </w:tcBorders>
            <w:vAlign w:val="center"/>
          </w:tcPr>
          <w:p>
            <w:pPr>
              <w:pStyle w:val="40"/>
              <w:jc w:val="both"/>
              <w:rPr>
                <w:rFonts w:eastAsia="宋体" w:cs="Times New Roman"/>
                <w:color w:val="auto"/>
              </w:rPr>
            </w:pPr>
            <w:r>
              <w:rPr>
                <w:rFonts w:eastAsia="宋体" w:cs="Times New Roman"/>
                <w:color w:val="auto"/>
              </w:rPr>
              <w:t>注：*氨氮、总磷入网值执行DB33/887-2013《工业企业废水氮、磷污染物间接排放限值》（浙江省人民政府2013年3月19日发布，2013年4月19日实施）表1中的相关工业企业水污染物间接排放限值。</w:t>
            </w:r>
          </w:p>
          <w:p>
            <w:pPr>
              <w:pStyle w:val="40"/>
              <w:rPr>
                <w:rFonts w:eastAsia="宋体" w:cs="Times New Roman"/>
                <w:color w:val="auto"/>
              </w:rPr>
            </w:pPr>
            <w:r>
              <w:rPr>
                <w:rFonts w:eastAsia="宋体" w:cs="Times New Roman"/>
                <w:color w:val="auto"/>
              </w:rPr>
              <w:t>**括号外数值为水温&gt;12℃时的控制指标，括号内数值为水温≤12℃时的控制指标。</w:t>
            </w:r>
          </w:p>
        </w:tc>
      </w:tr>
    </w:tbl>
    <w:p>
      <w:pPr>
        <w:pStyle w:val="5"/>
        <w:rPr>
          <w:rFonts w:cs="Times New Roman"/>
        </w:rPr>
      </w:pPr>
      <w:bookmarkStart w:id="48" w:name="_Toc61959007"/>
      <w:bookmarkStart w:id="49" w:name="_Toc24624"/>
      <w:r>
        <w:rPr>
          <w:rFonts w:cs="Times New Roman"/>
        </w:rPr>
        <w:t>6.2废气</w:t>
      </w:r>
      <w:bookmarkEnd w:id="48"/>
      <w:bookmarkEnd w:id="49"/>
    </w:p>
    <w:p>
      <w:pPr>
        <w:ind w:firstLine="480"/>
        <w:rPr>
          <w:rFonts w:eastAsia="宋体" w:cs="Times New Roman"/>
        </w:rPr>
      </w:pPr>
      <w:r>
        <w:rPr>
          <w:rFonts w:eastAsia="宋体" w:cs="Times New Roman"/>
        </w:rPr>
        <w:t>本项目生产过程中产生的废气主要为和毛生产过程产生的纤维尘，</w:t>
      </w:r>
      <w:r>
        <w:rPr>
          <w:rFonts w:hint="eastAsia" w:eastAsia="宋体" w:cs="Times New Roman"/>
        </w:rPr>
        <w:t>企业</w:t>
      </w:r>
      <w:r>
        <w:rPr>
          <w:rFonts w:eastAsia="宋体" w:cs="Times New Roman"/>
        </w:rPr>
        <w:t>在设备上安装吸尘装置，收集后的纤维尘经布袋式除尘器净化处理后经高</w:t>
      </w:r>
      <w:r>
        <w:rPr>
          <w:rFonts w:hint="eastAsia" w:eastAsia="宋体" w:cs="Times New Roman"/>
        </w:rPr>
        <w:t>25</w:t>
      </w:r>
      <w:r>
        <w:rPr>
          <w:rFonts w:eastAsia="宋体" w:cs="Times New Roman"/>
        </w:rPr>
        <w:t>m排气筒高空排放。颗粒物排放标准执行《大气污染综合排放标准》（GB16297-1996）中表2二级标准，具体见表6-2。</w:t>
      </w:r>
    </w:p>
    <w:p>
      <w:pPr>
        <w:pStyle w:val="37"/>
        <w:spacing w:before="62" w:after="31"/>
        <w:rPr>
          <w:rFonts w:eastAsia="宋体"/>
          <w:color w:val="auto"/>
        </w:rPr>
      </w:pPr>
      <w:r>
        <w:rPr>
          <w:rFonts w:eastAsia="宋体"/>
          <w:color w:val="auto"/>
        </w:rPr>
        <w:t>表6-2  《大气污染物综合排放标准》（GB16297-1996）</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9"/>
        <w:gridCol w:w="1311"/>
        <w:gridCol w:w="1454"/>
        <w:gridCol w:w="1165"/>
        <w:gridCol w:w="2035"/>
        <w:gridCol w:w="1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pct"/>
            <w:vMerge w:val="restar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污染物项目</w:t>
            </w:r>
          </w:p>
        </w:tc>
        <w:tc>
          <w:tcPr>
            <w:tcW w:w="752" w:type="pct"/>
            <w:vMerge w:val="restar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最高允许排放浓度</w:t>
            </w:r>
          </w:p>
        </w:tc>
        <w:tc>
          <w:tcPr>
            <w:tcW w:w="1502" w:type="pct"/>
            <w:gridSpan w:val="2"/>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最高允许排放速率</w:t>
            </w:r>
          </w:p>
        </w:tc>
        <w:tc>
          <w:tcPr>
            <w:tcW w:w="1915" w:type="pct"/>
            <w:gridSpan w:val="2"/>
            <w:tcBorders>
              <w:top w:val="single" w:color="auto" w:sz="4" w:space="0"/>
              <w:left w:val="single" w:color="auto" w:sz="4" w:space="0"/>
              <w:right w:val="single" w:color="auto" w:sz="4" w:space="0"/>
            </w:tcBorders>
            <w:vAlign w:val="center"/>
          </w:tcPr>
          <w:p>
            <w:pPr>
              <w:pStyle w:val="42"/>
              <w:rPr>
                <w:b/>
                <w:bCs/>
              </w:rPr>
            </w:pPr>
            <w:r>
              <w:rPr>
                <w:b/>
                <w:bCs/>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31" w:type="pct"/>
            <w:vMerge w:val="continue"/>
            <w:tcBorders>
              <w:top w:val="single" w:color="auto" w:sz="4" w:space="0"/>
              <w:left w:val="single" w:color="auto" w:sz="4" w:space="0"/>
              <w:bottom w:val="single" w:color="auto" w:sz="4" w:space="0"/>
              <w:right w:val="single" w:color="auto" w:sz="4" w:space="0"/>
            </w:tcBorders>
            <w:vAlign w:val="center"/>
          </w:tcPr>
          <w:p>
            <w:pPr>
              <w:pStyle w:val="42"/>
              <w:rPr>
                <w:b/>
                <w:bCs/>
              </w:rPr>
            </w:pPr>
          </w:p>
        </w:tc>
        <w:tc>
          <w:tcPr>
            <w:tcW w:w="752" w:type="pct"/>
            <w:vMerge w:val="continue"/>
            <w:tcBorders>
              <w:top w:val="single" w:color="auto" w:sz="4" w:space="0"/>
              <w:left w:val="single" w:color="auto" w:sz="4" w:space="0"/>
              <w:bottom w:val="single" w:color="auto" w:sz="4" w:space="0"/>
              <w:right w:val="single" w:color="auto" w:sz="4" w:space="0"/>
            </w:tcBorders>
            <w:vAlign w:val="center"/>
          </w:tcPr>
          <w:p>
            <w:pPr>
              <w:pStyle w:val="42"/>
              <w:rPr>
                <w:b/>
                <w:bCs/>
              </w:rPr>
            </w:pPr>
          </w:p>
        </w:tc>
        <w:tc>
          <w:tcPr>
            <w:tcW w:w="834"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排气筒高度</w:t>
            </w:r>
          </w:p>
        </w:tc>
        <w:tc>
          <w:tcPr>
            <w:tcW w:w="668"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二级</w:t>
            </w:r>
          </w:p>
        </w:tc>
        <w:tc>
          <w:tcPr>
            <w:tcW w:w="1167" w:type="pct"/>
            <w:tcBorders>
              <w:left w:val="single" w:color="auto" w:sz="4" w:space="0"/>
              <w:bottom w:val="single" w:color="auto" w:sz="4" w:space="0"/>
              <w:right w:val="single" w:color="auto" w:sz="4" w:space="0"/>
            </w:tcBorders>
            <w:vAlign w:val="center"/>
          </w:tcPr>
          <w:p>
            <w:pPr>
              <w:pStyle w:val="42"/>
              <w:rPr>
                <w:b/>
                <w:bCs/>
              </w:rPr>
            </w:pPr>
            <w:r>
              <w:rPr>
                <w:b/>
                <w:bCs/>
              </w:rPr>
              <w:t>监控点</w:t>
            </w:r>
          </w:p>
        </w:tc>
        <w:tc>
          <w:tcPr>
            <w:tcW w:w="749" w:type="pct"/>
            <w:tcBorders>
              <w:left w:val="single" w:color="auto" w:sz="4" w:space="0"/>
              <w:bottom w:val="single" w:color="auto" w:sz="4" w:space="0"/>
              <w:right w:val="single" w:color="auto" w:sz="4" w:space="0"/>
            </w:tcBorders>
            <w:vAlign w:val="center"/>
          </w:tcPr>
          <w:p>
            <w:pPr>
              <w:pStyle w:val="42"/>
              <w:rPr>
                <w:b/>
                <w:bCs/>
              </w:rPr>
            </w:pPr>
            <w:r>
              <w:rPr>
                <w:b/>
                <w:bCs/>
              </w:rPr>
              <w:t>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1" w:type="pct"/>
            <w:tcBorders>
              <w:top w:val="single" w:color="auto" w:sz="4" w:space="0"/>
              <w:left w:val="single" w:color="auto" w:sz="4" w:space="0"/>
              <w:bottom w:val="single" w:color="auto" w:sz="4" w:space="0"/>
              <w:right w:val="single" w:color="auto" w:sz="4" w:space="0"/>
            </w:tcBorders>
            <w:vAlign w:val="center"/>
          </w:tcPr>
          <w:p>
            <w:pPr>
              <w:pStyle w:val="42"/>
            </w:pPr>
            <w:r>
              <w:t>颗粒物</w:t>
            </w:r>
          </w:p>
        </w:tc>
        <w:tc>
          <w:tcPr>
            <w:tcW w:w="752" w:type="pct"/>
            <w:tcBorders>
              <w:top w:val="single" w:color="auto" w:sz="4" w:space="0"/>
              <w:left w:val="single" w:color="auto" w:sz="4" w:space="0"/>
              <w:bottom w:val="single" w:color="auto" w:sz="4" w:space="0"/>
              <w:right w:val="single" w:color="auto" w:sz="4" w:space="0"/>
            </w:tcBorders>
            <w:vAlign w:val="center"/>
          </w:tcPr>
          <w:p>
            <w:pPr>
              <w:pStyle w:val="42"/>
            </w:pPr>
            <w:r>
              <w:t>120mg/m³</w:t>
            </w:r>
          </w:p>
        </w:tc>
        <w:tc>
          <w:tcPr>
            <w:tcW w:w="834" w:type="pct"/>
            <w:tcBorders>
              <w:top w:val="single" w:color="auto" w:sz="4" w:space="0"/>
              <w:left w:val="single" w:color="auto" w:sz="4" w:space="0"/>
              <w:bottom w:val="single" w:color="auto" w:sz="4" w:space="0"/>
              <w:right w:val="single" w:color="auto" w:sz="4" w:space="0"/>
            </w:tcBorders>
            <w:vAlign w:val="center"/>
          </w:tcPr>
          <w:p>
            <w:pPr>
              <w:pStyle w:val="42"/>
            </w:pPr>
            <w:r>
              <w:rPr>
                <w:rFonts w:hint="eastAsia"/>
              </w:rPr>
              <w:t>20</w:t>
            </w:r>
            <w:r>
              <w:t>m</w:t>
            </w:r>
          </w:p>
        </w:tc>
        <w:tc>
          <w:tcPr>
            <w:tcW w:w="668" w:type="pct"/>
            <w:tcBorders>
              <w:top w:val="single" w:color="auto" w:sz="4" w:space="0"/>
              <w:left w:val="single" w:color="auto" w:sz="4" w:space="0"/>
              <w:bottom w:val="single" w:color="auto" w:sz="4" w:space="0"/>
              <w:right w:val="single" w:color="auto" w:sz="4" w:space="0"/>
            </w:tcBorders>
            <w:vAlign w:val="center"/>
          </w:tcPr>
          <w:p>
            <w:pPr>
              <w:pStyle w:val="42"/>
            </w:pPr>
            <w:r>
              <w:rPr>
                <w:rFonts w:hint="eastAsia"/>
              </w:rPr>
              <w:t>5.9</w:t>
            </w:r>
            <w:r>
              <w:t>kg/h</w:t>
            </w:r>
          </w:p>
        </w:tc>
        <w:tc>
          <w:tcPr>
            <w:tcW w:w="1167" w:type="pct"/>
            <w:tcBorders>
              <w:top w:val="single" w:color="auto" w:sz="4" w:space="0"/>
              <w:left w:val="single" w:color="auto" w:sz="4" w:space="0"/>
              <w:bottom w:val="single" w:color="auto" w:sz="4" w:space="0"/>
              <w:right w:val="single" w:color="auto" w:sz="4" w:space="0"/>
            </w:tcBorders>
            <w:vAlign w:val="center"/>
          </w:tcPr>
          <w:p>
            <w:pPr>
              <w:pStyle w:val="42"/>
            </w:pPr>
            <w:r>
              <w:t>周界外浓度最高点</w:t>
            </w:r>
          </w:p>
        </w:tc>
        <w:tc>
          <w:tcPr>
            <w:tcW w:w="749" w:type="pct"/>
            <w:tcBorders>
              <w:top w:val="single" w:color="auto" w:sz="4" w:space="0"/>
              <w:left w:val="single" w:color="auto" w:sz="4" w:space="0"/>
              <w:bottom w:val="single" w:color="auto" w:sz="4" w:space="0"/>
              <w:right w:val="single" w:color="auto" w:sz="4" w:space="0"/>
            </w:tcBorders>
            <w:vAlign w:val="center"/>
          </w:tcPr>
          <w:p>
            <w:pPr>
              <w:pStyle w:val="42"/>
            </w:pPr>
            <w:r>
              <w:t>1.0mg/m³</w:t>
            </w:r>
          </w:p>
        </w:tc>
      </w:tr>
    </w:tbl>
    <w:p>
      <w:pPr>
        <w:pStyle w:val="5"/>
        <w:spacing w:before="156" w:beforeLines="50"/>
        <w:rPr>
          <w:rFonts w:cs="Times New Roman"/>
        </w:rPr>
      </w:pPr>
      <w:bookmarkStart w:id="50" w:name="_Toc14132"/>
      <w:bookmarkStart w:id="51" w:name="_Toc61959008"/>
      <w:r>
        <w:rPr>
          <w:rFonts w:cs="Times New Roman"/>
        </w:rPr>
        <w:t>6.3噪声</w:t>
      </w:r>
      <w:bookmarkEnd w:id="50"/>
      <w:bookmarkEnd w:id="51"/>
    </w:p>
    <w:p>
      <w:pPr>
        <w:ind w:firstLine="480"/>
        <w:rPr>
          <w:rFonts w:eastAsia="宋体" w:cs="Times New Roman"/>
        </w:rPr>
      </w:pPr>
      <w:r>
        <w:rPr>
          <w:rFonts w:eastAsia="宋体" w:cs="Times New Roman"/>
        </w:rPr>
        <w:t>本项目厂界噪声执行《工业企业厂界环境噪声排放标准》（GB12348-2008）中的3类区标准，具体标准见表6-3。</w:t>
      </w:r>
    </w:p>
    <w:p>
      <w:pPr>
        <w:pStyle w:val="37"/>
        <w:spacing w:before="156" w:beforeLines="50" w:after="31"/>
        <w:ind w:firstLine="480"/>
        <w:rPr>
          <w:rFonts w:eastAsia="宋体"/>
          <w:color w:val="auto"/>
        </w:rPr>
      </w:pPr>
      <w:r>
        <w:rPr>
          <w:rFonts w:eastAsia="宋体"/>
          <w:color w:val="auto"/>
        </w:rPr>
        <w:t>表6-3  《工业企业厂界环境噪声排放标准》（GB12348-2008）  单位：dB（A）</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6"/>
        <w:gridCol w:w="2907"/>
        <w:gridCol w:w="2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666" w:type="pct"/>
            <w:vMerge w:val="restart"/>
            <w:vAlign w:val="center"/>
          </w:tcPr>
          <w:p>
            <w:pPr>
              <w:pStyle w:val="30"/>
              <w:rPr>
                <w:rFonts w:eastAsia="宋体" w:cs="Times New Roman"/>
                <w:b/>
                <w:bCs/>
              </w:rPr>
            </w:pPr>
            <w:r>
              <w:rPr>
                <w:rFonts w:eastAsia="宋体" w:cs="Times New Roman"/>
                <w:b/>
                <w:bCs/>
              </w:rPr>
              <w:t>厂界外声环境功能区类别</w:t>
            </w:r>
          </w:p>
        </w:tc>
        <w:tc>
          <w:tcPr>
            <w:tcW w:w="3334" w:type="pct"/>
            <w:gridSpan w:val="2"/>
            <w:vAlign w:val="center"/>
          </w:tcPr>
          <w:p>
            <w:pPr>
              <w:pStyle w:val="30"/>
              <w:rPr>
                <w:rFonts w:eastAsia="宋体" w:cs="Times New Roman"/>
                <w:b/>
                <w:bCs/>
              </w:rPr>
            </w:pPr>
            <w:r>
              <w:rPr>
                <w:rFonts w:eastAsia="宋体" w:cs="Times New Roman"/>
                <w:b/>
                <w:bCs/>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666" w:type="pct"/>
            <w:vMerge w:val="continue"/>
            <w:vAlign w:val="center"/>
          </w:tcPr>
          <w:p>
            <w:pPr>
              <w:pStyle w:val="30"/>
              <w:rPr>
                <w:rFonts w:eastAsia="宋体" w:cs="Times New Roman"/>
              </w:rPr>
            </w:pPr>
          </w:p>
        </w:tc>
        <w:tc>
          <w:tcPr>
            <w:tcW w:w="1667" w:type="pct"/>
            <w:vAlign w:val="center"/>
          </w:tcPr>
          <w:p>
            <w:pPr>
              <w:pStyle w:val="30"/>
              <w:rPr>
                <w:rFonts w:eastAsia="宋体" w:cs="Times New Roman"/>
                <w:b/>
                <w:bCs/>
              </w:rPr>
            </w:pPr>
            <w:r>
              <w:rPr>
                <w:rFonts w:eastAsia="宋体" w:cs="Times New Roman"/>
                <w:b/>
                <w:bCs/>
              </w:rPr>
              <w:t>昼间</w:t>
            </w:r>
          </w:p>
        </w:tc>
        <w:tc>
          <w:tcPr>
            <w:tcW w:w="1667" w:type="pct"/>
            <w:vAlign w:val="center"/>
          </w:tcPr>
          <w:p>
            <w:pPr>
              <w:pStyle w:val="30"/>
              <w:rPr>
                <w:rFonts w:eastAsia="宋体" w:cs="Times New Roman"/>
                <w:b/>
                <w:bCs/>
              </w:rPr>
            </w:pPr>
            <w:r>
              <w:rPr>
                <w:rFonts w:eastAsia="宋体" w:cs="Times New Roman"/>
                <w:b/>
                <w:bCs/>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Align w:val="center"/>
          </w:tcPr>
          <w:p>
            <w:pPr>
              <w:pStyle w:val="30"/>
              <w:rPr>
                <w:rFonts w:eastAsia="宋体" w:cs="Times New Roman"/>
              </w:rPr>
            </w:pPr>
            <w:r>
              <w:rPr>
                <w:rFonts w:eastAsia="宋体" w:cs="Times New Roman"/>
              </w:rPr>
              <w:t>3类</w:t>
            </w:r>
          </w:p>
        </w:tc>
        <w:tc>
          <w:tcPr>
            <w:tcW w:w="1667" w:type="pct"/>
            <w:vAlign w:val="center"/>
          </w:tcPr>
          <w:p>
            <w:pPr>
              <w:pStyle w:val="30"/>
              <w:rPr>
                <w:rFonts w:eastAsia="宋体" w:cs="Times New Roman"/>
              </w:rPr>
            </w:pPr>
            <w:r>
              <w:rPr>
                <w:rFonts w:eastAsia="宋体" w:cs="Times New Roman"/>
              </w:rPr>
              <w:t>65</w:t>
            </w:r>
          </w:p>
        </w:tc>
        <w:tc>
          <w:tcPr>
            <w:tcW w:w="1667" w:type="pct"/>
            <w:vAlign w:val="center"/>
          </w:tcPr>
          <w:p>
            <w:pPr>
              <w:pStyle w:val="30"/>
              <w:rPr>
                <w:rFonts w:eastAsia="宋体" w:cs="Times New Roman"/>
              </w:rPr>
            </w:pPr>
            <w:r>
              <w:rPr>
                <w:rFonts w:eastAsia="宋体" w:cs="Times New Roman"/>
              </w:rPr>
              <w:t>55</w:t>
            </w:r>
          </w:p>
        </w:tc>
      </w:tr>
    </w:tbl>
    <w:p>
      <w:pPr>
        <w:spacing w:before="156" w:beforeLines="50"/>
        <w:ind w:firstLine="480"/>
        <w:rPr>
          <w:rFonts w:eastAsia="宋体" w:cs="Times New Roman"/>
        </w:rPr>
      </w:pPr>
      <w:bookmarkStart w:id="52" w:name="_Toc3107"/>
      <w:bookmarkStart w:id="53" w:name="_Toc61959009"/>
      <w:r>
        <w:rPr>
          <w:rFonts w:eastAsia="宋体" w:cs="Times New Roman"/>
        </w:rPr>
        <w:t>本项目周围环境敏感点处声环境质量执行《声环境质量标准》（GB3096-2008）2类标准，具体见表6-4。</w:t>
      </w:r>
    </w:p>
    <w:p>
      <w:pPr>
        <w:pStyle w:val="37"/>
        <w:spacing w:before="156" w:beforeLines="50" w:after="31"/>
        <w:ind w:firstLine="480"/>
        <w:rPr>
          <w:rFonts w:eastAsia="宋体"/>
          <w:color w:val="auto"/>
        </w:rPr>
      </w:pPr>
      <w:r>
        <w:rPr>
          <w:rFonts w:eastAsia="宋体"/>
          <w:color w:val="auto"/>
        </w:rPr>
        <w:t>表6-4   《声环境质量标准》（GB3096-2008）   单位：dB（A）</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8"/>
        <w:gridCol w:w="3432"/>
        <w:gridCol w:w="1556"/>
        <w:gridCol w:w="1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49" w:type="pct"/>
            <w:vAlign w:val="center"/>
          </w:tcPr>
          <w:p>
            <w:pPr>
              <w:pStyle w:val="42"/>
              <w:rPr>
                <w:b/>
                <w:bCs/>
              </w:rPr>
            </w:pPr>
            <w:r>
              <w:rPr>
                <w:b/>
                <w:bCs/>
              </w:rPr>
              <w:t>声环境功能区类别</w:t>
            </w:r>
          </w:p>
        </w:tc>
        <w:tc>
          <w:tcPr>
            <w:tcW w:w="1968" w:type="pct"/>
            <w:vAlign w:val="center"/>
          </w:tcPr>
          <w:p>
            <w:pPr>
              <w:pStyle w:val="42"/>
              <w:rPr>
                <w:b/>
                <w:bCs/>
              </w:rPr>
            </w:pPr>
            <w:r>
              <w:rPr>
                <w:b/>
                <w:bCs/>
              </w:rPr>
              <w:t>适用区域</w:t>
            </w:r>
          </w:p>
        </w:tc>
        <w:tc>
          <w:tcPr>
            <w:tcW w:w="892" w:type="pct"/>
            <w:vAlign w:val="center"/>
          </w:tcPr>
          <w:p>
            <w:pPr>
              <w:pStyle w:val="42"/>
              <w:rPr>
                <w:b/>
                <w:bCs/>
              </w:rPr>
            </w:pPr>
            <w:r>
              <w:rPr>
                <w:b/>
                <w:bCs/>
              </w:rPr>
              <w:t>昼间</w:t>
            </w:r>
          </w:p>
        </w:tc>
        <w:tc>
          <w:tcPr>
            <w:tcW w:w="891" w:type="pct"/>
            <w:vAlign w:val="center"/>
          </w:tcPr>
          <w:p>
            <w:pPr>
              <w:pStyle w:val="42"/>
              <w:rPr>
                <w:b/>
              </w:rPr>
            </w:pPr>
            <w:r>
              <w:rPr>
                <w:b/>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49" w:type="pct"/>
            <w:vAlign w:val="center"/>
          </w:tcPr>
          <w:p>
            <w:pPr>
              <w:pStyle w:val="42"/>
            </w:pPr>
            <w:r>
              <w:t>2类</w:t>
            </w:r>
          </w:p>
        </w:tc>
        <w:tc>
          <w:tcPr>
            <w:tcW w:w="1968" w:type="pct"/>
            <w:vAlign w:val="center"/>
          </w:tcPr>
          <w:p>
            <w:pPr>
              <w:pStyle w:val="42"/>
            </w:pPr>
            <w:r>
              <w:t>以商业金融、集市贸易为主要功能，或者居住、商业、工业混杂</w:t>
            </w:r>
          </w:p>
        </w:tc>
        <w:tc>
          <w:tcPr>
            <w:tcW w:w="892" w:type="pct"/>
            <w:vAlign w:val="center"/>
          </w:tcPr>
          <w:p>
            <w:pPr>
              <w:pStyle w:val="42"/>
            </w:pPr>
            <w:r>
              <w:t>60</w:t>
            </w:r>
          </w:p>
        </w:tc>
        <w:tc>
          <w:tcPr>
            <w:tcW w:w="891" w:type="pct"/>
            <w:vAlign w:val="center"/>
          </w:tcPr>
          <w:p>
            <w:pPr>
              <w:pStyle w:val="42"/>
            </w:pPr>
            <w:r>
              <w:t>50</w:t>
            </w:r>
          </w:p>
        </w:tc>
      </w:tr>
    </w:tbl>
    <w:p>
      <w:pPr>
        <w:pStyle w:val="5"/>
        <w:rPr>
          <w:rFonts w:cs="Times New Roman"/>
        </w:rPr>
      </w:pPr>
      <w:r>
        <w:rPr>
          <w:rFonts w:cs="Times New Roman"/>
        </w:rPr>
        <w:t>6.4固体废弃物</w:t>
      </w:r>
      <w:bookmarkEnd w:id="52"/>
      <w:bookmarkEnd w:id="53"/>
    </w:p>
    <w:p>
      <w:pPr>
        <w:ind w:firstLine="480"/>
        <w:rPr>
          <w:rFonts w:eastAsia="宋体" w:cs="Times New Roman"/>
        </w:rPr>
      </w:pPr>
      <w:r>
        <w:rPr>
          <w:rFonts w:eastAsia="宋体" w:cs="Times New Roman"/>
        </w:rPr>
        <w:t>一般固体废物的</w:t>
      </w:r>
      <w:r>
        <w:rPr>
          <w:rFonts w:eastAsia="宋体" w:cs="Times New Roman"/>
          <w:bCs/>
        </w:rPr>
        <w:t>贮存和处置</w:t>
      </w:r>
      <w:r>
        <w:rPr>
          <w:rFonts w:eastAsia="宋体" w:cs="Times New Roman"/>
        </w:rPr>
        <w:t>执行《中华人民共和国固体废物污染环境防治法（2020年修订）》以及GB18599-2020《一般工业固体废物贮存和填埋污染物控制标准》中相应防渗漏、防雨淋、防扬尘等环境保护要求的有关规定。</w:t>
      </w:r>
    </w:p>
    <w:p>
      <w:pPr>
        <w:pStyle w:val="2"/>
        <w:ind w:left="480" w:firstLine="480"/>
        <w:rPr>
          <w:rFonts w:eastAsia="宋体" w:cs="Times New Roman"/>
        </w:rPr>
      </w:pPr>
    </w:p>
    <w:p>
      <w:pPr>
        <w:pStyle w:val="2"/>
        <w:ind w:left="480" w:firstLine="480"/>
        <w:rPr>
          <w:rFonts w:eastAsia="宋体" w:cs="Times New Roman"/>
        </w:rPr>
        <w:sectPr>
          <w:pgSz w:w="11906" w:h="16838"/>
          <w:pgMar w:top="1418" w:right="1701" w:bottom="1418" w:left="1701" w:header="851" w:footer="992" w:gutter="0"/>
          <w:pgNumType w:fmt="numberInDash"/>
          <w:cols w:space="425" w:num="1"/>
          <w:docGrid w:type="lines" w:linePitch="312" w:charSpace="0"/>
        </w:sectPr>
      </w:pPr>
    </w:p>
    <w:p>
      <w:pPr>
        <w:pStyle w:val="4"/>
        <w:rPr>
          <w:rFonts w:cs="Times New Roman"/>
        </w:rPr>
      </w:pPr>
      <w:bookmarkStart w:id="54" w:name="_Toc61959010"/>
      <w:bookmarkStart w:id="55" w:name="_Toc515273919"/>
      <w:r>
        <w:rPr>
          <w:rFonts w:cs="Times New Roman"/>
        </w:rPr>
        <w:t>7验收监测内容</w:t>
      </w:r>
      <w:bookmarkEnd w:id="54"/>
      <w:bookmarkEnd w:id="55"/>
    </w:p>
    <w:p>
      <w:pPr>
        <w:pStyle w:val="5"/>
        <w:rPr>
          <w:rFonts w:cs="Times New Roman"/>
        </w:rPr>
      </w:pPr>
      <w:bookmarkStart w:id="56" w:name="_Toc515273920"/>
      <w:bookmarkStart w:id="57" w:name="_Toc1654"/>
      <w:bookmarkStart w:id="58" w:name="_Toc18329"/>
      <w:bookmarkStart w:id="59" w:name="_Toc61959011"/>
      <w:bookmarkStart w:id="60" w:name="_Toc17252"/>
      <w:r>
        <w:rPr>
          <w:rFonts w:cs="Times New Roman"/>
        </w:rPr>
        <w:t>7</w:t>
      </w:r>
      <w:bookmarkEnd w:id="56"/>
      <w:r>
        <w:rPr>
          <w:rFonts w:cs="Times New Roman"/>
        </w:rPr>
        <w:t>.1废水</w:t>
      </w:r>
      <w:bookmarkEnd w:id="57"/>
      <w:bookmarkEnd w:id="58"/>
      <w:bookmarkEnd w:id="59"/>
      <w:bookmarkEnd w:id="60"/>
    </w:p>
    <w:p>
      <w:pPr>
        <w:ind w:firstLine="480"/>
        <w:rPr>
          <w:rFonts w:eastAsia="宋体" w:cs="Times New Roman"/>
        </w:rPr>
      </w:pPr>
      <w:r>
        <w:rPr>
          <w:rFonts w:eastAsia="宋体" w:cs="Times New Roman"/>
        </w:rPr>
        <w:t>废水监测内容及频次见表7-1。</w:t>
      </w:r>
    </w:p>
    <w:p>
      <w:pPr>
        <w:pStyle w:val="31"/>
        <w:spacing w:before="62" w:after="31"/>
        <w:rPr>
          <w:rFonts w:eastAsia="宋体"/>
        </w:rPr>
      </w:pPr>
      <w:r>
        <w:rPr>
          <w:rFonts w:eastAsia="宋体"/>
        </w:rPr>
        <w:t>表7-1  废水监测内容及频次</w:t>
      </w:r>
    </w:p>
    <w:tbl>
      <w:tblPr>
        <w:tblStyle w:val="21"/>
        <w:tblW w:w="5000" w:type="pct"/>
        <w:jc w:val="center"/>
        <w:tblLayout w:type="autofit"/>
        <w:tblCellMar>
          <w:top w:w="0" w:type="dxa"/>
          <w:left w:w="0" w:type="dxa"/>
          <w:bottom w:w="0" w:type="dxa"/>
          <w:right w:w="0" w:type="dxa"/>
        </w:tblCellMar>
      </w:tblPr>
      <w:tblGrid>
        <w:gridCol w:w="2844"/>
        <w:gridCol w:w="3133"/>
        <w:gridCol w:w="2557"/>
      </w:tblGrid>
      <w:tr>
        <w:tblPrEx>
          <w:tblCellMar>
            <w:top w:w="0" w:type="dxa"/>
            <w:left w:w="0" w:type="dxa"/>
            <w:bottom w:w="0" w:type="dxa"/>
            <w:right w:w="0" w:type="dxa"/>
          </w:tblCellMar>
        </w:tblPrEx>
        <w:trPr>
          <w:trHeight w:val="340" w:hRule="atLeast"/>
          <w:jc w:val="center"/>
        </w:trPr>
        <w:tc>
          <w:tcPr>
            <w:tcW w:w="1666"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30"/>
              <w:rPr>
                <w:rFonts w:eastAsia="宋体" w:cs="Times New Roman"/>
                <w:b/>
                <w:bCs/>
              </w:rPr>
            </w:pPr>
            <w:r>
              <w:rPr>
                <w:rFonts w:eastAsia="宋体" w:cs="Times New Roman"/>
                <w:b/>
                <w:bCs/>
              </w:rPr>
              <w:t>监测点位</w:t>
            </w:r>
          </w:p>
        </w:tc>
        <w:tc>
          <w:tcPr>
            <w:tcW w:w="1835"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30"/>
              <w:rPr>
                <w:rFonts w:eastAsia="宋体" w:cs="Times New Roman"/>
                <w:b/>
                <w:bCs/>
              </w:rPr>
            </w:pPr>
            <w:r>
              <w:rPr>
                <w:rFonts w:eastAsia="宋体" w:cs="Times New Roman"/>
                <w:b/>
                <w:bCs/>
              </w:rPr>
              <w:t>监测因子</w:t>
            </w:r>
          </w:p>
        </w:tc>
        <w:tc>
          <w:tcPr>
            <w:tcW w:w="1498"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30"/>
              <w:rPr>
                <w:rFonts w:eastAsia="宋体" w:cs="Times New Roman"/>
                <w:b/>
                <w:bCs/>
              </w:rPr>
            </w:pPr>
            <w:r>
              <w:rPr>
                <w:rFonts w:eastAsia="宋体" w:cs="Times New Roman"/>
                <w:b/>
                <w:bCs/>
              </w:rPr>
              <w:t>监测频次</w:t>
            </w:r>
          </w:p>
        </w:tc>
      </w:tr>
      <w:tr>
        <w:tblPrEx>
          <w:tblCellMar>
            <w:top w:w="0" w:type="dxa"/>
            <w:left w:w="0" w:type="dxa"/>
            <w:bottom w:w="0" w:type="dxa"/>
            <w:right w:w="0" w:type="dxa"/>
          </w:tblCellMar>
        </w:tblPrEx>
        <w:trPr>
          <w:trHeight w:val="340" w:hRule="atLeast"/>
          <w:jc w:val="center"/>
        </w:trPr>
        <w:tc>
          <w:tcPr>
            <w:tcW w:w="1666"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pPr>
              <w:pStyle w:val="30"/>
              <w:rPr>
                <w:rFonts w:eastAsia="宋体" w:cs="Times New Roman"/>
              </w:rPr>
            </w:pPr>
            <w:r>
              <w:rPr>
                <w:rFonts w:eastAsia="宋体" w:cs="Times New Roman"/>
              </w:rPr>
              <w:t>废水总排口</w:t>
            </w:r>
          </w:p>
        </w:tc>
        <w:tc>
          <w:tcPr>
            <w:tcW w:w="1835"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30"/>
              <w:rPr>
                <w:rFonts w:eastAsia="宋体" w:cs="Times New Roman"/>
              </w:rPr>
            </w:pPr>
            <w:r>
              <w:rPr>
                <w:rFonts w:eastAsia="宋体" w:cs="Times New Roman"/>
              </w:rPr>
              <w:t>pH、COD</w:t>
            </w:r>
            <w:r>
              <w:rPr>
                <w:rFonts w:eastAsia="宋体" w:cs="Times New Roman"/>
                <w:vertAlign w:val="subscript"/>
              </w:rPr>
              <w:t>Cr</w:t>
            </w:r>
            <w:r>
              <w:rPr>
                <w:rFonts w:eastAsia="宋体" w:cs="Times New Roman"/>
              </w:rPr>
              <w:t>、BOD</w:t>
            </w:r>
            <w:r>
              <w:rPr>
                <w:rFonts w:eastAsia="宋体" w:cs="Times New Roman"/>
                <w:vertAlign w:val="subscript"/>
              </w:rPr>
              <w:t>5</w:t>
            </w:r>
            <w:r>
              <w:rPr>
                <w:rFonts w:eastAsia="宋体" w:cs="Times New Roman"/>
              </w:rPr>
              <w:t>、NH</w:t>
            </w:r>
            <w:r>
              <w:rPr>
                <w:rFonts w:eastAsia="宋体" w:cs="Times New Roman"/>
                <w:vertAlign w:val="subscript"/>
              </w:rPr>
              <w:t>3</w:t>
            </w:r>
            <w:r>
              <w:rPr>
                <w:rFonts w:eastAsia="宋体" w:cs="Times New Roman"/>
              </w:rPr>
              <w:t>-N、SS、总磷</w:t>
            </w:r>
          </w:p>
        </w:tc>
        <w:tc>
          <w:tcPr>
            <w:tcW w:w="1498"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pStyle w:val="30"/>
              <w:rPr>
                <w:rFonts w:eastAsia="宋体" w:cs="Times New Roman"/>
              </w:rPr>
            </w:pPr>
            <w:r>
              <w:rPr>
                <w:rFonts w:eastAsia="宋体" w:cs="Times New Roman"/>
              </w:rPr>
              <w:t>监测2天，每天4次</w:t>
            </w:r>
          </w:p>
        </w:tc>
      </w:tr>
    </w:tbl>
    <w:p>
      <w:pPr>
        <w:pStyle w:val="5"/>
        <w:rPr>
          <w:rFonts w:cs="Times New Roman"/>
        </w:rPr>
      </w:pPr>
      <w:bookmarkStart w:id="61" w:name="_Toc23584"/>
      <w:bookmarkStart w:id="62" w:name="_Toc30980"/>
      <w:bookmarkStart w:id="63" w:name="_Toc61959012"/>
      <w:r>
        <w:rPr>
          <w:rFonts w:cs="Times New Roman"/>
        </w:rPr>
        <w:t>7.2废气</w:t>
      </w:r>
      <w:bookmarkEnd w:id="61"/>
      <w:bookmarkEnd w:id="62"/>
      <w:bookmarkEnd w:id="63"/>
    </w:p>
    <w:p>
      <w:pPr>
        <w:ind w:firstLine="48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有组织废气监测内容及频次具体见表7.2。</w:t>
      </w:r>
    </w:p>
    <w:p>
      <w:pPr>
        <w:pStyle w:val="2"/>
        <w:spacing w:line="240" w:lineRule="auto"/>
        <w:ind w:left="0" w:leftChars="0" w:firstLine="0" w:firstLineChars="0"/>
        <w:jc w:val="center"/>
        <w:rPr>
          <w:rFonts w:eastAsia="宋体" w:cs="Times New Roman"/>
        </w:rPr>
      </w:pPr>
      <w:r>
        <w:rPr>
          <w:rFonts w:eastAsia="宋体" w:cs="Times New Roman"/>
          <w:b/>
          <w:bCs/>
          <w:sz w:val="21"/>
          <w:szCs w:val="21"/>
        </w:rPr>
        <w:t>表7.2有组织废气监测内容及频次</w:t>
      </w:r>
    </w:p>
    <w:tbl>
      <w:tblPr>
        <w:tblStyle w:val="21"/>
        <w:tblW w:w="49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0"/>
        <w:gridCol w:w="2892"/>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Align w:val="center"/>
          </w:tcPr>
          <w:p>
            <w:pPr>
              <w:pStyle w:val="30"/>
              <w:rPr>
                <w:rFonts w:eastAsia="宋体" w:cs="Times New Roman"/>
                <w:b/>
                <w:bCs/>
                <w:color w:val="000000" w:themeColor="text1"/>
                <w14:textFill>
                  <w14:solidFill>
                    <w14:schemeClr w14:val="tx1"/>
                  </w14:solidFill>
                </w14:textFill>
              </w:rPr>
            </w:pPr>
            <w:r>
              <w:rPr>
                <w:rFonts w:eastAsia="宋体" w:cs="Times New Roman"/>
                <w:b/>
                <w:bCs/>
                <w:color w:val="000000" w:themeColor="text1"/>
                <w14:textFill>
                  <w14:solidFill>
                    <w14:schemeClr w14:val="tx1"/>
                  </w14:solidFill>
                </w14:textFill>
              </w:rPr>
              <w:t>监测点位</w:t>
            </w:r>
          </w:p>
        </w:tc>
        <w:tc>
          <w:tcPr>
            <w:tcW w:w="1667" w:type="pct"/>
            <w:vAlign w:val="center"/>
          </w:tcPr>
          <w:p>
            <w:pPr>
              <w:pStyle w:val="30"/>
              <w:rPr>
                <w:rFonts w:eastAsia="宋体" w:cs="Times New Roman"/>
                <w:b/>
                <w:bCs/>
                <w:color w:val="000000" w:themeColor="text1"/>
                <w14:textFill>
                  <w14:solidFill>
                    <w14:schemeClr w14:val="tx1"/>
                  </w14:solidFill>
                </w14:textFill>
              </w:rPr>
            </w:pPr>
            <w:r>
              <w:rPr>
                <w:rFonts w:eastAsia="宋体" w:cs="Times New Roman"/>
                <w:b/>
                <w:bCs/>
                <w:color w:val="000000" w:themeColor="text1"/>
                <w14:textFill>
                  <w14:solidFill>
                    <w14:schemeClr w14:val="tx1"/>
                  </w14:solidFill>
                </w14:textFill>
              </w:rPr>
              <w:t>监测因子</w:t>
            </w:r>
          </w:p>
        </w:tc>
        <w:tc>
          <w:tcPr>
            <w:tcW w:w="1666" w:type="pct"/>
            <w:vAlign w:val="center"/>
          </w:tcPr>
          <w:p>
            <w:pPr>
              <w:pStyle w:val="30"/>
              <w:rPr>
                <w:rFonts w:eastAsia="宋体" w:cs="Times New Roman"/>
                <w:b/>
                <w:bCs/>
                <w:color w:val="000000" w:themeColor="text1"/>
                <w14:textFill>
                  <w14:solidFill>
                    <w14:schemeClr w14:val="tx1"/>
                  </w14:solidFill>
                </w14:textFill>
              </w:rPr>
            </w:pPr>
            <w:r>
              <w:rPr>
                <w:rFonts w:eastAsia="宋体" w:cs="Times New Roman"/>
                <w:b/>
                <w:bCs/>
                <w:color w:val="000000" w:themeColor="text1"/>
                <w14:textFill>
                  <w14:solidFill>
                    <w14:schemeClr w14:val="tx1"/>
                  </w14:solidFill>
                </w14:textFill>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Align w:val="center"/>
          </w:tcPr>
          <w:p>
            <w:pPr>
              <w:pStyle w:val="3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废气治理设施</w:t>
            </w:r>
            <w:r>
              <w:rPr>
                <w:rFonts w:hint="eastAsia" w:eastAsia="宋体" w:cs="Times New Roman"/>
                <w:color w:val="000000" w:themeColor="text1"/>
                <w14:textFill>
                  <w14:solidFill>
                    <w14:schemeClr w14:val="tx1"/>
                  </w14:solidFill>
                </w14:textFill>
              </w:rPr>
              <w:t>进口</w:t>
            </w:r>
          </w:p>
        </w:tc>
        <w:tc>
          <w:tcPr>
            <w:tcW w:w="1667" w:type="pct"/>
            <w:vAlign w:val="center"/>
          </w:tcPr>
          <w:p>
            <w:pPr>
              <w:pStyle w:val="3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颗粒物</w:t>
            </w:r>
          </w:p>
        </w:tc>
        <w:tc>
          <w:tcPr>
            <w:tcW w:w="1666" w:type="pct"/>
            <w:vAlign w:val="center"/>
          </w:tcPr>
          <w:p>
            <w:pPr>
              <w:pStyle w:val="3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 xml:space="preserve">监测2天，每天3次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Align w:val="center"/>
          </w:tcPr>
          <w:p>
            <w:pPr>
              <w:pStyle w:val="3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废气治理设施</w:t>
            </w:r>
            <w:r>
              <w:rPr>
                <w:rFonts w:hint="eastAsia" w:eastAsia="宋体" w:cs="Times New Roman"/>
                <w:color w:val="000000" w:themeColor="text1"/>
                <w14:textFill>
                  <w14:solidFill>
                    <w14:schemeClr w14:val="tx1"/>
                  </w14:solidFill>
                </w14:textFill>
              </w:rPr>
              <w:t>出口</w:t>
            </w:r>
          </w:p>
        </w:tc>
        <w:tc>
          <w:tcPr>
            <w:tcW w:w="1667" w:type="pct"/>
            <w:vAlign w:val="center"/>
          </w:tcPr>
          <w:p>
            <w:pPr>
              <w:pStyle w:val="3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颗粒物</w:t>
            </w:r>
          </w:p>
        </w:tc>
        <w:tc>
          <w:tcPr>
            <w:tcW w:w="1666" w:type="pct"/>
            <w:vAlign w:val="center"/>
          </w:tcPr>
          <w:p>
            <w:pPr>
              <w:pStyle w:val="3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 xml:space="preserve">监测2天，每天3次 </w:t>
            </w:r>
          </w:p>
        </w:tc>
      </w:tr>
    </w:tbl>
    <w:p>
      <w:pPr>
        <w:ind w:firstLine="480"/>
        <w:rPr>
          <w:rFonts w:eastAsia="宋体" w:cs="Times New Roman"/>
        </w:rPr>
      </w:pPr>
      <w:r>
        <w:rPr>
          <w:rFonts w:eastAsia="宋体" w:cs="Times New Roman"/>
        </w:rPr>
        <w:t>无组织废气监测内容及频次具体见表7-3。</w:t>
      </w:r>
    </w:p>
    <w:p>
      <w:pPr>
        <w:pStyle w:val="31"/>
        <w:spacing w:before="62" w:after="31"/>
        <w:rPr>
          <w:rFonts w:eastAsia="宋体"/>
        </w:rPr>
      </w:pPr>
      <w:r>
        <w:rPr>
          <w:rFonts w:eastAsia="宋体"/>
        </w:rPr>
        <w:t>表7-3  无组织废气监测内容及频次</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6"/>
        <w:gridCol w:w="3201"/>
        <w:gridCol w:w="26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Align w:val="center"/>
          </w:tcPr>
          <w:p>
            <w:pPr>
              <w:pStyle w:val="30"/>
              <w:rPr>
                <w:rFonts w:eastAsia="宋体" w:cs="Times New Roman"/>
                <w:b/>
                <w:bCs/>
              </w:rPr>
            </w:pPr>
            <w:r>
              <w:rPr>
                <w:rFonts w:eastAsia="宋体" w:cs="Times New Roman"/>
                <w:b/>
                <w:bCs/>
              </w:rPr>
              <w:t>监测点位</w:t>
            </w:r>
          </w:p>
        </w:tc>
        <w:tc>
          <w:tcPr>
            <w:tcW w:w="1835" w:type="pct"/>
            <w:vAlign w:val="center"/>
          </w:tcPr>
          <w:p>
            <w:pPr>
              <w:pStyle w:val="30"/>
              <w:rPr>
                <w:rFonts w:eastAsia="宋体" w:cs="Times New Roman"/>
                <w:b/>
                <w:bCs/>
              </w:rPr>
            </w:pPr>
            <w:r>
              <w:rPr>
                <w:rFonts w:eastAsia="宋体" w:cs="Times New Roman"/>
                <w:b/>
                <w:bCs/>
              </w:rPr>
              <w:t>监测因子</w:t>
            </w:r>
          </w:p>
        </w:tc>
        <w:tc>
          <w:tcPr>
            <w:tcW w:w="1498" w:type="pct"/>
            <w:vAlign w:val="center"/>
          </w:tcPr>
          <w:p>
            <w:pPr>
              <w:pStyle w:val="30"/>
              <w:rPr>
                <w:rFonts w:eastAsia="宋体" w:cs="Times New Roman"/>
                <w:b/>
                <w:bCs/>
              </w:rPr>
            </w:pPr>
            <w:r>
              <w:rPr>
                <w:rFonts w:eastAsia="宋体" w:cs="Times New Roman"/>
                <w:b/>
                <w:bCs/>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Align w:val="center"/>
          </w:tcPr>
          <w:p>
            <w:pPr>
              <w:pStyle w:val="30"/>
              <w:rPr>
                <w:rFonts w:eastAsia="宋体" w:cs="Times New Roman"/>
              </w:rPr>
            </w:pPr>
            <w:r>
              <w:rPr>
                <w:rFonts w:eastAsia="宋体" w:cs="Times New Roman"/>
              </w:rPr>
              <w:t>上风向、下风向</w:t>
            </w:r>
          </w:p>
        </w:tc>
        <w:tc>
          <w:tcPr>
            <w:tcW w:w="1835" w:type="pct"/>
            <w:vAlign w:val="center"/>
          </w:tcPr>
          <w:p>
            <w:pPr>
              <w:pStyle w:val="30"/>
              <w:rPr>
                <w:rFonts w:eastAsia="宋体" w:cs="Times New Roman"/>
              </w:rPr>
            </w:pPr>
            <w:r>
              <w:rPr>
                <w:rFonts w:eastAsia="宋体" w:cs="Times New Roman"/>
              </w:rPr>
              <w:t>总悬浮颗粒物</w:t>
            </w:r>
          </w:p>
        </w:tc>
        <w:tc>
          <w:tcPr>
            <w:tcW w:w="1498" w:type="pct"/>
            <w:vAlign w:val="center"/>
          </w:tcPr>
          <w:p>
            <w:pPr>
              <w:pStyle w:val="30"/>
              <w:rPr>
                <w:rFonts w:eastAsia="宋体" w:cs="Times New Roman"/>
              </w:rPr>
            </w:pPr>
            <w:r>
              <w:rPr>
                <w:rFonts w:eastAsia="宋体" w:cs="Times New Roman"/>
              </w:rPr>
              <w:t xml:space="preserve">监测2天，每天3次 </w:t>
            </w:r>
          </w:p>
        </w:tc>
      </w:tr>
    </w:tbl>
    <w:p>
      <w:pPr>
        <w:pStyle w:val="5"/>
        <w:spacing w:before="156" w:beforeLines="50"/>
        <w:rPr>
          <w:rFonts w:cs="Times New Roman"/>
          <w:kern w:val="44"/>
          <w:szCs w:val="24"/>
        </w:rPr>
      </w:pPr>
      <w:bookmarkStart w:id="64" w:name="_Toc21940"/>
      <w:bookmarkStart w:id="65" w:name="_Toc61959013"/>
      <w:bookmarkStart w:id="66" w:name="_Toc11835"/>
      <w:r>
        <w:rPr>
          <w:rFonts w:cs="Times New Roman"/>
          <w:kern w:val="44"/>
          <w:szCs w:val="24"/>
        </w:rPr>
        <w:t>7.3噪声</w:t>
      </w:r>
      <w:bookmarkEnd w:id="64"/>
      <w:bookmarkEnd w:id="65"/>
      <w:bookmarkEnd w:id="66"/>
    </w:p>
    <w:p>
      <w:pPr>
        <w:snapToGrid w:val="0"/>
        <w:ind w:firstLine="480"/>
        <w:rPr>
          <w:rFonts w:eastAsia="宋体" w:cs="Times New Roman"/>
        </w:rPr>
      </w:pPr>
      <w:r>
        <w:rPr>
          <w:rFonts w:eastAsia="宋体" w:cs="Times New Roman"/>
        </w:rPr>
        <w:t xml:space="preserve">噪声监测内容见表7-4。 </w:t>
      </w:r>
    </w:p>
    <w:p>
      <w:pPr>
        <w:pStyle w:val="31"/>
        <w:spacing w:before="62" w:after="31"/>
        <w:rPr>
          <w:rFonts w:eastAsia="宋体"/>
        </w:rPr>
      </w:pPr>
      <w:r>
        <w:rPr>
          <w:rFonts w:eastAsia="宋体"/>
        </w:rPr>
        <w:t>表7-4  噪声监测内容及监测频次</w:t>
      </w:r>
    </w:p>
    <w:tbl>
      <w:tblPr>
        <w:tblStyle w:val="21"/>
        <w:tblW w:w="49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2"/>
        <w:gridCol w:w="3217"/>
        <w:gridCol w:w="2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30"/>
              <w:rPr>
                <w:rFonts w:eastAsia="宋体" w:cs="Times New Roman"/>
                <w:b/>
                <w:bCs/>
              </w:rPr>
            </w:pPr>
            <w:r>
              <w:rPr>
                <w:rFonts w:eastAsia="宋体" w:cs="Times New Roman"/>
                <w:b/>
                <w:bCs/>
              </w:rPr>
              <w:t>监测点位</w:t>
            </w:r>
          </w:p>
        </w:tc>
        <w:tc>
          <w:tcPr>
            <w:tcW w:w="1854" w:type="pct"/>
            <w:vAlign w:val="center"/>
          </w:tcPr>
          <w:p>
            <w:pPr>
              <w:pStyle w:val="30"/>
              <w:rPr>
                <w:rFonts w:eastAsia="宋体" w:cs="Times New Roman"/>
                <w:b/>
                <w:bCs/>
              </w:rPr>
            </w:pPr>
            <w:r>
              <w:rPr>
                <w:rFonts w:eastAsia="宋体" w:cs="Times New Roman"/>
                <w:b/>
                <w:bCs/>
              </w:rPr>
              <w:t>监测因子</w:t>
            </w:r>
          </w:p>
        </w:tc>
        <w:tc>
          <w:tcPr>
            <w:tcW w:w="1478" w:type="pct"/>
            <w:vAlign w:val="center"/>
          </w:tcPr>
          <w:p>
            <w:pPr>
              <w:pStyle w:val="30"/>
              <w:rPr>
                <w:rFonts w:eastAsia="宋体" w:cs="Times New Roman"/>
                <w:b/>
                <w:bCs/>
              </w:rPr>
            </w:pPr>
            <w:r>
              <w:rPr>
                <w:rFonts w:eastAsia="宋体" w:cs="Times New Roman"/>
                <w:b/>
                <w:bCs/>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30"/>
              <w:rPr>
                <w:rFonts w:eastAsia="宋体" w:cs="Times New Roman"/>
              </w:rPr>
            </w:pPr>
            <w:r>
              <w:rPr>
                <w:rFonts w:eastAsia="宋体" w:cs="Times New Roman"/>
              </w:rPr>
              <w:t>东、南、西、北厂界</w:t>
            </w:r>
          </w:p>
        </w:tc>
        <w:tc>
          <w:tcPr>
            <w:tcW w:w="1854" w:type="pct"/>
            <w:vAlign w:val="center"/>
          </w:tcPr>
          <w:p>
            <w:pPr>
              <w:pStyle w:val="30"/>
              <w:rPr>
                <w:rFonts w:eastAsia="宋体" w:cs="Times New Roman"/>
              </w:rPr>
            </w:pPr>
            <w:r>
              <w:rPr>
                <w:rFonts w:eastAsia="宋体" w:cs="Times New Roman"/>
              </w:rPr>
              <w:t>等效连续A声级</w:t>
            </w:r>
          </w:p>
        </w:tc>
        <w:tc>
          <w:tcPr>
            <w:tcW w:w="1478" w:type="pct"/>
            <w:vAlign w:val="center"/>
          </w:tcPr>
          <w:p>
            <w:pPr>
              <w:pStyle w:val="30"/>
              <w:rPr>
                <w:rFonts w:eastAsia="宋体" w:cs="Times New Roman"/>
              </w:rPr>
            </w:pPr>
            <w:r>
              <w:rPr>
                <w:rFonts w:eastAsia="宋体" w:cs="Times New Roman"/>
              </w:rPr>
              <w:t>监测2天，昼夜间各1次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vAlign w:val="center"/>
          </w:tcPr>
          <w:p>
            <w:pPr>
              <w:pStyle w:val="30"/>
              <w:rPr>
                <w:rFonts w:eastAsia="宋体" w:cs="Times New Roman"/>
              </w:rPr>
            </w:pPr>
            <w:bookmarkStart w:id="67" w:name="_Toc61959014"/>
            <w:bookmarkStart w:id="68" w:name="_Toc5220"/>
            <w:bookmarkStart w:id="69" w:name="_Toc24171"/>
            <w:r>
              <w:rPr>
                <w:rFonts w:hint="eastAsia" w:eastAsia="宋体" w:cs="Times New Roman"/>
              </w:rPr>
              <w:t>东南侧民居点</w:t>
            </w:r>
          </w:p>
        </w:tc>
        <w:tc>
          <w:tcPr>
            <w:tcW w:w="1854" w:type="pct"/>
            <w:vAlign w:val="center"/>
          </w:tcPr>
          <w:p>
            <w:pPr>
              <w:pStyle w:val="30"/>
              <w:rPr>
                <w:rFonts w:eastAsia="宋体" w:cs="Times New Roman"/>
              </w:rPr>
            </w:pPr>
            <w:r>
              <w:rPr>
                <w:rFonts w:eastAsia="宋体" w:cs="Times New Roman"/>
              </w:rPr>
              <w:t>等效连续A声级</w:t>
            </w:r>
          </w:p>
        </w:tc>
        <w:tc>
          <w:tcPr>
            <w:tcW w:w="1478" w:type="pct"/>
            <w:vAlign w:val="center"/>
          </w:tcPr>
          <w:p>
            <w:pPr>
              <w:pStyle w:val="30"/>
              <w:rPr>
                <w:rFonts w:eastAsia="宋体" w:cs="Times New Roman"/>
              </w:rPr>
            </w:pPr>
            <w:r>
              <w:rPr>
                <w:rFonts w:eastAsia="宋体" w:cs="Times New Roman"/>
              </w:rPr>
              <w:t>监测2天，昼夜间各1次</w:t>
            </w:r>
          </w:p>
        </w:tc>
      </w:tr>
    </w:tbl>
    <w:p>
      <w:pPr>
        <w:pStyle w:val="5"/>
        <w:rPr>
          <w:rFonts w:cs="Times New Roman"/>
          <w:kern w:val="44"/>
          <w:szCs w:val="24"/>
        </w:rPr>
      </w:pPr>
      <w:r>
        <w:rPr>
          <w:rFonts w:cs="Times New Roman"/>
          <w:kern w:val="44"/>
          <w:szCs w:val="24"/>
        </w:rPr>
        <w:t>7.4固废</w:t>
      </w:r>
      <w:bookmarkEnd w:id="67"/>
      <w:bookmarkEnd w:id="68"/>
      <w:bookmarkEnd w:id="69"/>
    </w:p>
    <w:p>
      <w:pPr>
        <w:ind w:firstLine="480"/>
        <w:rPr>
          <w:rFonts w:eastAsia="宋体" w:cs="Times New Roman"/>
        </w:rPr>
      </w:pPr>
      <w:r>
        <w:rPr>
          <w:rFonts w:eastAsia="宋体" w:cs="Times New Roman"/>
        </w:rPr>
        <w:t>调查项目产生的固体废弃物的种类、属性、年产生量和处理方式。</w:t>
      </w:r>
    </w:p>
    <w:p>
      <w:pPr>
        <w:ind w:firstLine="480"/>
        <w:rPr>
          <w:rFonts w:eastAsia="宋体" w:cs="Times New Roman"/>
        </w:rPr>
      </w:pPr>
      <w:r>
        <w:rPr>
          <w:rFonts w:eastAsia="宋体" w:cs="Times New Roman"/>
        </w:rPr>
        <w:br w:type="page"/>
      </w:r>
    </w:p>
    <w:p>
      <w:pPr>
        <w:pStyle w:val="4"/>
        <w:rPr>
          <w:rFonts w:cs="Times New Roman"/>
        </w:rPr>
      </w:pPr>
      <w:bookmarkStart w:id="70" w:name="_Toc61959015"/>
      <w:bookmarkStart w:id="71" w:name="_Toc515273921"/>
      <w:r>
        <w:rPr>
          <w:rFonts w:cs="Times New Roman"/>
        </w:rPr>
        <w:t>8质量保证及质量控制</w:t>
      </w:r>
      <w:bookmarkEnd w:id="70"/>
      <w:bookmarkEnd w:id="71"/>
    </w:p>
    <w:p>
      <w:pPr>
        <w:ind w:firstLine="480"/>
        <w:rPr>
          <w:rFonts w:eastAsia="宋体" w:cs="Times New Roman"/>
        </w:rPr>
      </w:pPr>
      <w:r>
        <w:rPr>
          <w:rFonts w:eastAsia="宋体" w:cs="Times New Roman"/>
        </w:rPr>
        <w:t>本项目废水、废气、噪声现场验收监测工作委托浙江爱迪信检测技术有限公司，以下为浙江爱迪信检测技术有限公司对本项目监测工作做出的质量保证及质控措施。</w:t>
      </w:r>
    </w:p>
    <w:p>
      <w:pPr>
        <w:pStyle w:val="5"/>
        <w:rPr>
          <w:rFonts w:cs="Times New Roman"/>
        </w:rPr>
      </w:pPr>
      <w:bookmarkStart w:id="72" w:name="_Toc61959016"/>
      <w:bookmarkStart w:id="73" w:name="_Toc515273922"/>
      <w:r>
        <w:rPr>
          <w:rFonts w:cs="Times New Roman"/>
        </w:rPr>
        <w:t>8.1监测分析方法</w:t>
      </w:r>
      <w:bookmarkEnd w:id="72"/>
      <w:bookmarkEnd w:id="73"/>
    </w:p>
    <w:p>
      <w:pPr>
        <w:autoSpaceDE w:val="0"/>
        <w:autoSpaceDN w:val="0"/>
        <w:adjustRightInd w:val="0"/>
        <w:ind w:firstLine="480"/>
        <w:rPr>
          <w:rFonts w:eastAsia="宋体" w:cs="Times New Roman"/>
        </w:rPr>
      </w:pPr>
      <w:r>
        <w:rPr>
          <w:rFonts w:eastAsia="宋体" w:cs="Times New Roman"/>
        </w:rPr>
        <w:t>监测分析方法见表8-1。</w:t>
      </w:r>
    </w:p>
    <w:p>
      <w:pPr>
        <w:pStyle w:val="31"/>
        <w:spacing w:before="62" w:after="31"/>
        <w:rPr>
          <w:rFonts w:eastAsia="宋体"/>
        </w:rPr>
      </w:pPr>
      <w:r>
        <w:rPr>
          <w:rFonts w:eastAsia="宋体"/>
        </w:rPr>
        <w:t>表8-1  分析监测方法一览表</w:t>
      </w:r>
    </w:p>
    <w:tbl>
      <w:tblPr>
        <w:tblStyle w:val="21"/>
        <w:tblW w:w="8504"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12"/>
        <w:gridCol w:w="2344"/>
        <w:gridCol w:w="524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tcBorders>
              <w:top w:val="single" w:color="auto" w:sz="4" w:space="0"/>
            </w:tcBorders>
            <w:vAlign w:val="center"/>
          </w:tcPr>
          <w:p>
            <w:pPr>
              <w:pStyle w:val="30"/>
              <w:rPr>
                <w:rFonts w:eastAsia="宋体" w:cs="Times New Roman"/>
                <w:b/>
                <w:bCs/>
                <w:szCs w:val="21"/>
              </w:rPr>
            </w:pPr>
            <w:r>
              <w:rPr>
                <w:rFonts w:eastAsia="宋体" w:cs="Times New Roman"/>
                <w:b/>
                <w:bCs/>
                <w:szCs w:val="21"/>
              </w:rPr>
              <w:t>类型</w:t>
            </w:r>
          </w:p>
        </w:tc>
        <w:tc>
          <w:tcPr>
            <w:tcW w:w="2344" w:type="dxa"/>
            <w:tcBorders>
              <w:top w:val="single" w:color="auto" w:sz="4" w:space="0"/>
            </w:tcBorders>
            <w:vAlign w:val="center"/>
          </w:tcPr>
          <w:p>
            <w:pPr>
              <w:pStyle w:val="30"/>
              <w:rPr>
                <w:rFonts w:eastAsia="宋体" w:cs="Times New Roman"/>
                <w:b/>
                <w:bCs/>
                <w:szCs w:val="21"/>
              </w:rPr>
            </w:pPr>
            <w:r>
              <w:rPr>
                <w:rFonts w:eastAsia="宋体" w:cs="Times New Roman"/>
                <w:b/>
                <w:bCs/>
                <w:szCs w:val="21"/>
              </w:rPr>
              <w:t>监测项目</w:t>
            </w:r>
          </w:p>
        </w:tc>
        <w:tc>
          <w:tcPr>
            <w:tcW w:w="5248" w:type="dxa"/>
            <w:tcBorders>
              <w:top w:val="single" w:color="auto" w:sz="4" w:space="0"/>
            </w:tcBorders>
            <w:vAlign w:val="center"/>
          </w:tcPr>
          <w:p>
            <w:pPr>
              <w:pStyle w:val="30"/>
              <w:rPr>
                <w:rFonts w:eastAsia="宋体" w:cs="Times New Roman"/>
                <w:b/>
                <w:bCs/>
                <w:szCs w:val="21"/>
              </w:rPr>
            </w:pPr>
            <w:r>
              <w:rPr>
                <w:rFonts w:eastAsia="宋体" w:cs="Times New Roman"/>
                <w:b/>
                <w:bCs/>
                <w:szCs w:val="21"/>
              </w:rPr>
              <w:t>监测分析方法标准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restart"/>
            <w:vAlign w:val="center"/>
          </w:tcPr>
          <w:p>
            <w:pPr>
              <w:pStyle w:val="30"/>
              <w:rPr>
                <w:rFonts w:eastAsia="宋体" w:cs="Times New Roman"/>
                <w:szCs w:val="21"/>
              </w:rPr>
            </w:pPr>
            <w:r>
              <w:rPr>
                <w:rFonts w:eastAsia="宋体" w:cs="Times New Roman"/>
                <w:szCs w:val="21"/>
              </w:rPr>
              <w:t>废水</w:t>
            </w:r>
          </w:p>
        </w:tc>
        <w:tc>
          <w:tcPr>
            <w:tcW w:w="2344" w:type="dxa"/>
            <w:vAlign w:val="center"/>
          </w:tcPr>
          <w:p>
            <w:pPr>
              <w:pStyle w:val="30"/>
              <w:rPr>
                <w:rFonts w:eastAsia="宋体" w:cs="Times New Roman"/>
                <w:szCs w:val="21"/>
              </w:rPr>
            </w:pPr>
            <w:r>
              <w:rPr>
                <w:rFonts w:eastAsia="宋体" w:cs="Times New Roman"/>
                <w:szCs w:val="21"/>
              </w:rPr>
              <w:t>pH值</w:t>
            </w:r>
          </w:p>
        </w:tc>
        <w:tc>
          <w:tcPr>
            <w:tcW w:w="5248" w:type="dxa"/>
            <w:vAlign w:val="center"/>
          </w:tcPr>
          <w:p>
            <w:pPr>
              <w:pStyle w:val="30"/>
              <w:rPr>
                <w:rFonts w:eastAsia="宋体" w:cs="Times New Roman"/>
                <w:szCs w:val="21"/>
              </w:rPr>
            </w:pPr>
            <w:r>
              <w:rPr>
                <w:rFonts w:eastAsia="宋体" w:cs="Times New Roman"/>
                <w:szCs w:val="21"/>
              </w:rPr>
              <w:t>水质pH值的测定电极法HJ1147-2020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continue"/>
            <w:vAlign w:val="center"/>
          </w:tcPr>
          <w:p>
            <w:pPr>
              <w:pStyle w:val="30"/>
              <w:rPr>
                <w:rFonts w:eastAsia="宋体" w:cs="Times New Roman"/>
                <w:szCs w:val="21"/>
              </w:rPr>
            </w:pPr>
          </w:p>
        </w:tc>
        <w:tc>
          <w:tcPr>
            <w:tcW w:w="2344" w:type="dxa"/>
            <w:vAlign w:val="center"/>
          </w:tcPr>
          <w:p>
            <w:pPr>
              <w:pStyle w:val="30"/>
              <w:rPr>
                <w:rFonts w:eastAsia="宋体" w:cs="Times New Roman"/>
                <w:szCs w:val="21"/>
              </w:rPr>
            </w:pPr>
            <w:r>
              <w:rPr>
                <w:rFonts w:eastAsia="宋体" w:cs="Times New Roman"/>
                <w:szCs w:val="21"/>
              </w:rPr>
              <w:t>化学需氧量</w:t>
            </w:r>
          </w:p>
        </w:tc>
        <w:tc>
          <w:tcPr>
            <w:tcW w:w="5248" w:type="dxa"/>
            <w:vAlign w:val="center"/>
          </w:tcPr>
          <w:p>
            <w:pPr>
              <w:pStyle w:val="30"/>
              <w:rPr>
                <w:rFonts w:eastAsia="宋体" w:cs="Times New Roman"/>
                <w:szCs w:val="21"/>
              </w:rPr>
            </w:pPr>
            <w:r>
              <w:rPr>
                <w:rFonts w:eastAsia="宋体" w:cs="Times New Roman"/>
                <w:szCs w:val="21"/>
              </w:rPr>
              <w:t>水质化学需氧量的测定重铬酸盐法HJ828-2017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continue"/>
            <w:vAlign w:val="center"/>
          </w:tcPr>
          <w:p>
            <w:pPr>
              <w:pStyle w:val="30"/>
              <w:rPr>
                <w:rFonts w:eastAsia="宋体" w:cs="Times New Roman"/>
                <w:szCs w:val="21"/>
              </w:rPr>
            </w:pPr>
          </w:p>
        </w:tc>
        <w:tc>
          <w:tcPr>
            <w:tcW w:w="2344" w:type="dxa"/>
            <w:vAlign w:val="center"/>
          </w:tcPr>
          <w:p>
            <w:pPr>
              <w:pStyle w:val="30"/>
              <w:rPr>
                <w:rFonts w:eastAsia="宋体" w:cs="Times New Roman"/>
                <w:szCs w:val="21"/>
              </w:rPr>
            </w:pPr>
            <w:r>
              <w:rPr>
                <w:rFonts w:eastAsia="宋体" w:cs="Times New Roman"/>
                <w:szCs w:val="21"/>
              </w:rPr>
              <w:t>氨氮</w:t>
            </w:r>
          </w:p>
        </w:tc>
        <w:tc>
          <w:tcPr>
            <w:tcW w:w="5248" w:type="dxa"/>
            <w:vAlign w:val="center"/>
          </w:tcPr>
          <w:p>
            <w:pPr>
              <w:pStyle w:val="30"/>
              <w:rPr>
                <w:rFonts w:eastAsia="宋体" w:cs="Times New Roman"/>
                <w:szCs w:val="21"/>
              </w:rPr>
            </w:pPr>
            <w:r>
              <w:rPr>
                <w:rFonts w:eastAsia="宋体" w:cs="Times New Roman"/>
                <w:szCs w:val="21"/>
              </w:rPr>
              <w:t>水质氨氮的测定纳氏试剂分光光度法HJ535-2009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continue"/>
            <w:vAlign w:val="center"/>
          </w:tcPr>
          <w:p>
            <w:pPr>
              <w:pStyle w:val="30"/>
              <w:rPr>
                <w:rFonts w:eastAsia="宋体" w:cs="Times New Roman"/>
                <w:szCs w:val="21"/>
              </w:rPr>
            </w:pPr>
          </w:p>
        </w:tc>
        <w:tc>
          <w:tcPr>
            <w:tcW w:w="2344" w:type="dxa"/>
            <w:vAlign w:val="center"/>
          </w:tcPr>
          <w:p>
            <w:pPr>
              <w:pStyle w:val="30"/>
              <w:rPr>
                <w:rFonts w:eastAsia="宋体" w:cs="Times New Roman"/>
                <w:szCs w:val="21"/>
              </w:rPr>
            </w:pPr>
            <w:r>
              <w:rPr>
                <w:rFonts w:eastAsia="宋体" w:cs="Times New Roman"/>
                <w:szCs w:val="21"/>
              </w:rPr>
              <w:t>悬浮物</w:t>
            </w:r>
          </w:p>
        </w:tc>
        <w:tc>
          <w:tcPr>
            <w:tcW w:w="5248" w:type="dxa"/>
            <w:vAlign w:val="center"/>
          </w:tcPr>
          <w:p>
            <w:pPr>
              <w:pStyle w:val="30"/>
              <w:rPr>
                <w:rFonts w:eastAsia="宋体" w:cs="Times New Roman"/>
                <w:szCs w:val="21"/>
              </w:rPr>
            </w:pPr>
            <w:r>
              <w:rPr>
                <w:rFonts w:eastAsia="宋体" w:cs="Times New Roman"/>
                <w:szCs w:val="21"/>
              </w:rPr>
              <w:t>水质悬浮物的测定重量法GB11901-1989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continue"/>
            <w:vAlign w:val="center"/>
          </w:tcPr>
          <w:p>
            <w:pPr>
              <w:pStyle w:val="30"/>
              <w:rPr>
                <w:rFonts w:eastAsia="宋体" w:cs="Times New Roman"/>
                <w:szCs w:val="21"/>
              </w:rPr>
            </w:pPr>
          </w:p>
        </w:tc>
        <w:tc>
          <w:tcPr>
            <w:tcW w:w="2344" w:type="dxa"/>
            <w:vAlign w:val="center"/>
          </w:tcPr>
          <w:p>
            <w:pPr>
              <w:pStyle w:val="30"/>
              <w:rPr>
                <w:rFonts w:eastAsia="宋体" w:cs="Times New Roman"/>
                <w:szCs w:val="21"/>
              </w:rPr>
            </w:pPr>
            <w:r>
              <w:rPr>
                <w:rFonts w:eastAsia="宋体" w:cs="Times New Roman"/>
                <w:szCs w:val="21"/>
              </w:rPr>
              <w:t>五日生化需氧量</w:t>
            </w:r>
          </w:p>
        </w:tc>
        <w:tc>
          <w:tcPr>
            <w:tcW w:w="5248" w:type="dxa"/>
            <w:vAlign w:val="center"/>
          </w:tcPr>
          <w:p>
            <w:pPr>
              <w:pStyle w:val="30"/>
              <w:rPr>
                <w:rFonts w:eastAsia="宋体" w:cs="Times New Roman"/>
                <w:szCs w:val="21"/>
              </w:rPr>
            </w:pPr>
            <w:r>
              <w:rPr>
                <w:rFonts w:eastAsia="宋体" w:cs="Times New Roman"/>
                <w:szCs w:val="21"/>
              </w:rPr>
              <w:t>水质五日生化需氧量（BOD</w:t>
            </w:r>
            <w:r>
              <w:rPr>
                <w:rFonts w:eastAsia="宋体" w:cs="Times New Roman"/>
                <w:szCs w:val="21"/>
                <w:vertAlign w:val="subscript"/>
              </w:rPr>
              <w:t>5</w:t>
            </w:r>
            <w:r>
              <w:rPr>
                <w:rFonts w:eastAsia="宋体" w:cs="Times New Roman"/>
                <w:szCs w:val="21"/>
              </w:rPr>
              <w:t>）的测定稀释与接种法HJ505-2009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continue"/>
            <w:vAlign w:val="center"/>
          </w:tcPr>
          <w:p>
            <w:pPr>
              <w:pStyle w:val="30"/>
              <w:rPr>
                <w:rFonts w:eastAsia="宋体" w:cs="Times New Roman"/>
                <w:szCs w:val="21"/>
              </w:rPr>
            </w:pPr>
          </w:p>
        </w:tc>
        <w:tc>
          <w:tcPr>
            <w:tcW w:w="2344" w:type="dxa"/>
            <w:vAlign w:val="center"/>
          </w:tcPr>
          <w:p>
            <w:pPr>
              <w:pStyle w:val="30"/>
              <w:rPr>
                <w:rFonts w:eastAsia="宋体" w:cs="Times New Roman"/>
                <w:szCs w:val="21"/>
              </w:rPr>
            </w:pPr>
            <w:r>
              <w:rPr>
                <w:rFonts w:eastAsia="宋体" w:cs="Times New Roman"/>
                <w:szCs w:val="21"/>
              </w:rPr>
              <w:t>总磷</w:t>
            </w:r>
          </w:p>
        </w:tc>
        <w:tc>
          <w:tcPr>
            <w:tcW w:w="5248" w:type="dxa"/>
            <w:vAlign w:val="center"/>
          </w:tcPr>
          <w:p>
            <w:pPr>
              <w:pStyle w:val="30"/>
              <w:rPr>
                <w:rFonts w:eastAsia="宋体" w:cs="Times New Roman"/>
                <w:szCs w:val="21"/>
              </w:rPr>
            </w:pPr>
            <w:r>
              <w:rPr>
                <w:rFonts w:eastAsia="宋体" w:cs="Times New Roman"/>
                <w:szCs w:val="21"/>
              </w:rPr>
              <w:t>水质总磷的测定钼酸铵分光光度法GB/T11893-1989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restart"/>
            <w:vAlign w:val="center"/>
          </w:tcPr>
          <w:p>
            <w:pPr>
              <w:pStyle w:val="30"/>
              <w:rPr>
                <w:rFonts w:eastAsia="宋体" w:cs="Times New Roman"/>
                <w:szCs w:val="21"/>
              </w:rPr>
            </w:pPr>
            <w:r>
              <w:rPr>
                <w:rFonts w:eastAsia="宋体" w:cs="Times New Roman"/>
                <w:szCs w:val="21"/>
              </w:rPr>
              <w:t>废气</w:t>
            </w:r>
          </w:p>
        </w:tc>
        <w:tc>
          <w:tcPr>
            <w:tcW w:w="2344" w:type="dxa"/>
            <w:tcBorders>
              <w:bottom w:val="single" w:color="auto" w:sz="4" w:space="0"/>
            </w:tcBorders>
            <w:vAlign w:val="center"/>
          </w:tcPr>
          <w:p>
            <w:pPr>
              <w:pStyle w:val="30"/>
              <w:rPr>
                <w:rFonts w:eastAsia="宋体" w:cs="Times New Roman"/>
                <w:szCs w:val="21"/>
              </w:rPr>
            </w:pPr>
            <w:r>
              <w:rPr>
                <w:rFonts w:eastAsia="宋体" w:cs="Times New Roman"/>
                <w:szCs w:val="21"/>
              </w:rPr>
              <w:t>烟气参数</w:t>
            </w:r>
          </w:p>
        </w:tc>
        <w:tc>
          <w:tcPr>
            <w:tcW w:w="5248" w:type="dxa"/>
            <w:vAlign w:val="center"/>
          </w:tcPr>
          <w:p>
            <w:pPr>
              <w:pStyle w:val="30"/>
              <w:rPr>
                <w:rFonts w:eastAsia="宋体" w:cs="Times New Roman"/>
                <w:szCs w:val="21"/>
              </w:rPr>
            </w:pPr>
            <w:r>
              <w:rPr>
                <w:rFonts w:eastAsia="宋体" w:cs="Times New Roman"/>
                <w:szCs w:val="21"/>
              </w:rPr>
              <w:t>固定污染源排气中颗粒物测定与气态污染物采样方法GB/T16157-1996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continue"/>
            <w:vAlign w:val="center"/>
          </w:tcPr>
          <w:p>
            <w:pPr>
              <w:pStyle w:val="30"/>
              <w:rPr>
                <w:rFonts w:eastAsia="宋体" w:cs="Times New Roman"/>
                <w:szCs w:val="21"/>
              </w:rPr>
            </w:pPr>
          </w:p>
        </w:tc>
        <w:tc>
          <w:tcPr>
            <w:tcW w:w="2344" w:type="dxa"/>
            <w:tcBorders>
              <w:bottom w:val="single" w:color="auto" w:sz="4" w:space="0"/>
            </w:tcBorders>
            <w:vAlign w:val="center"/>
          </w:tcPr>
          <w:p>
            <w:pPr>
              <w:pStyle w:val="30"/>
              <w:rPr>
                <w:rFonts w:eastAsia="宋体" w:cs="Times New Roman"/>
                <w:szCs w:val="21"/>
              </w:rPr>
            </w:pPr>
            <w:r>
              <w:rPr>
                <w:rFonts w:eastAsia="宋体" w:cs="Times New Roman"/>
                <w:szCs w:val="21"/>
              </w:rPr>
              <w:t>颗粒物</w:t>
            </w:r>
          </w:p>
        </w:tc>
        <w:tc>
          <w:tcPr>
            <w:tcW w:w="5248" w:type="dxa"/>
            <w:vAlign w:val="center"/>
          </w:tcPr>
          <w:p>
            <w:pPr>
              <w:pStyle w:val="30"/>
              <w:rPr>
                <w:rFonts w:eastAsia="宋体" w:cs="Times New Roman"/>
                <w:szCs w:val="21"/>
              </w:rPr>
            </w:pPr>
            <w:r>
              <w:rPr>
                <w:rFonts w:eastAsia="宋体" w:cs="Times New Roman"/>
                <w:szCs w:val="21"/>
              </w:rPr>
              <w:t>固定污染源排气中颗粒物测定与气态污染物采样方法GB/T16157-1996及其修改单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continue"/>
            <w:vAlign w:val="center"/>
          </w:tcPr>
          <w:p>
            <w:pPr>
              <w:pStyle w:val="30"/>
              <w:rPr>
                <w:rFonts w:eastAsia="宋体" w:cs="Times New Roman"/>
                <w:szCs w:val="21"/>
              </w:rPr>
            </w:pPr>
          </w:p>
        </w:tc>
        <w:tc>
          <w:tcPr>
            <w:tcW w:w="2344" w:type="dxa"/>
            <w:tcBorders>
              <w:bottom w:val="single" w:color="auto" w:sz="4" w:space="0"/>
            </w:tcBorders>
            <w:vAlign w:val="center"/>
          </w:tcPr>
          <w:p>
            <w:pPr>
              <w:pStyle w:val="30"/>
              <w:rPr>
                <w:rFonts w:eastAsia="宋体" w:cs="Times New Roman"/>
                <w:szCs w:val="21"/>
              </w:rPr>
            </w:pPr>
            <w:r>
              <w:rPr>
                <w:rFonts w:eastAsia="宋体" w:cs="Times New Roman"/>
                <w:szCs w:val="21"/>
              </w:rPr>
              <w:t>颗粒物</w:t>
            </w:r>
          </w:p>
        </w:tc>
        <w:tc>
          <w:tcPr>
            <w:tcW w:w="5248" w:type="dxa"/>
            <w:vAlign w:val="center"/>
          </w:tcPr>
          <w:p>
            <w:pPr>
              <w:pStyle w:val="30"/>
              <w:rPr>
                <w:rFonts w:eastAsia="宋体" w:cs="Times New Roman"/>
                <w:szCs w:val="21"/>
              </w:rPr>
            </w:pPr>
            <w:r>
              <w:rPr>
                <w:rFonts w:eastAsia="宋体" w:cs="Times New Roman"/>
                <w:szCs w:val="21"/>
              </w:rPr>
              <w:t>固定污染源废气低浓度颗粒物的测定重量法HJ836-2017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continue"/>
            <w:vAlign w:val="center"/>
          </w:tcPr>
          <w:p>
            <w:pPr>
              <w:pStyle w:val="30"/>
              <w:rPr>
                <w:rFonts w:eastAsia="宋体" w:cs="Times New Roman"/>
                <w:szCs w:val="21"/>
              </w:rPr>
            </w:pPr>
          </w:p>
        </w:tc>
        <w:tc>
          <w:tcPr>
            <w:tcW w:w="2344" w:type="dxa"/>
            <w:tcBorders>
              <w:bottom w:val="single" w:color="auto" w:sz="4" w:space="0"/>
            </w:tcBorders>
            <w:vAlign w:val="center"/>
          </w:tcPr>
          <w:p>
            <w:pPr>
              <w:pStyle w:val="30"/>
              <w:rPr>
                <w:rFonts w:eastAsia="宋体" w:cs="Times New Roman"/>
                <w:szCs w:val="21"/>
              </w:rPr>
            </w:pPr>
            <w:r>
              <w:rPr>
                <w:rFonts w:eastAsia="宋体" w:cs="Times New Roman"/>
                <w:szCs w:val="21"/>
              </w:rPr>
              <w:t>总悬浮颗粒物</w:t>
            </w:r>
          </w:p>
        </w:tc>
        <w:tc>
          <w:tcPr>
            <w:tcW w:w="5248" w:type="dxa"/>
            <w:vAlign w:val="center"/>
          </w:tcPr>
          <w:p>
            <w:pPr>
              <w:pStyle w:val="30"/>
              <w:rPr>
                <w:rFonts w:eastAsia="宋体" w:cs="Times New Roman"/>
                <w:szCs w:val="21"/>
              </w:rPr>
            </w:pPr>
            <w:r>
              <w:rPr>
                <w:rFonts w:eastAsia="宋体" w:cs="Times New Roman"/>
                <w:szCs w:val="21"/>
              </w:rPr>
              <w:t>固定污染源排气中颗粒物测定与气态污染物采样方法GB/T16157-1996及其修改单</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restart"/>
            <w:vAlign w:val="center"/>
          </w:tcPr>
          <w:p>
            <w:pPr>
              <w:pStyle w:val="30"/>
              <w:rPr>
                <w:rFonts w:eastAsia="宋体" w:cs="Times New Roman"/>
                <w:szCs w:val="21"/>
              </w:rPr>
            </w:pPr>
            <w:r>
              <w:rPr>
                <w:rFonts w:eastAsia="宋体" w:cs="Times New Roman"/>
                <w:szCs w:val="21"/>
              </w:rPr>
              <w:t>噪声</w:t>
            </w:r>
          </w:p>
        </w:tc>
        <w:tc>
          <w:tcPr>
            <w:tcW w:w="2344" w:type="dxa"/>
            <w:vAlign w:val="center"/>
          </w:tcPr>
          <w:p>
            <w:pPr>
              <w:pStyle w:val="30"/>
              <w:rPr>
                <w:rFonts w:eastAsia="宋体" w:cs="Times New Roman"/>
                <w:szCs w:val="21"/>
              </w:rPr>
            </w:pPr>
            <w:r>
              <w:rPr>
                <w:rFonts w:eastAsia="宋体" w:cs="Times New Roman"/>
                <w:szCs w:val="21"/>
              </w:rPr>
              <w:t>工业企业厂界环境噪声</w:t>
            </w:r>
          </w:p>
        </w:tc>
        <w:tc>
          <w:tcPr>
            <w:tcW w:w="5248" w:type="dxa"/>
            <w:vAlign w:val="center"/>
          </w:tcPr>
          <w:p>
            <w:pPr>
              <w:pStyle w:val="30"/>
              <w:rPr>
                <w:rFonts w:eastAsia="宋体" w:cs="Times New Roman"/>
                <w:szCs w:val="21"/>
              </w:rPr>
            </w:pPr>
            <w:r>
              <w:rPr>
                <w:rFonts w:eastAsia="宋体" w:cs="Times New Roman"/>
                <w:szCs w:val="21"/>
              </w:rPr>
              <w:t>工业企业厂界环境噪声排放标准 GB12348-2008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2" w:type="dxa"/>
            <w:vMerge w:val="continue"/>
            <w:vAlign w:val="center"/>
          </w:tcPr>
          <w:p>
            <w:pPr>
              <w:pStyle w:val="30"/>
              <w:rPr>
                <w:rFonts w:eastAsia="宋体" w:cs="Times New Roman"/>
                <w:szCs w:val="21"/>
              </w:rPr>
            </w:pPr>
          </w:p>
        </w:tc>
        <w:tc>
          <w:tcPr>
            <w:tcW w:w="2344" w:type="dxa"/>
            <w:vAlign w:val="center"/>
          </w:tcPr>
          <w:p>
            <w:pPr>
              <w:pStyle w:val="30"/>
              <w:rPr>
                <w:rFonts w:eastAsia="宋体" w:cs="Times New Roman"/>
                <w:szCs w:val="21"/>
              </w:rPr>
            </w:pPr>
            <w:r>
              <w:rPr>
                <w:rFonts w:eastAsia="宋体" w:cs="Times New Roman"/>
                <w:szCs w:val="21"/>
              </w:rPr>
              <w:t>区域环境噪声</w:t>
            </w:r>
          </w:p>
        </w:tc>
        <w:tc>
          <w:tcPr>
            <w:tcW w:w="5248" w:type="dxa"/>
            <w:vAlign w:val="center"/>
          </w:tcPr>
          <w:p>
            <w:pPr>
              <w:pStyle w:val="30"/>
              <w:rPr>
                <w:rFonts w:eastAsia="宋体" w:cs="Times New Roman"/>
                <w:szCs w:val="21"/>
              </w:rPr>
            </w:pPr>
            <w:r>
              <w:rPr>
                <w:rFonts w:eastAsia="宋体" w:cs="Times New Roman"/>
                <w:szCs w:val="21"/>
              </w:rPr>
              <w:t>声环境质量标准 GB3096-2008</w:t>
            </w:r>
          </w:p>
        </w:tc>
      </w:tr>
    </w:tbl>
    <w:p>
      <w:pPr>
        <w:pStyle w:val="5"/>
        <w:rPr>
          <w:rFonts w:cs="Times New Roman"/>
        </w:rPr>
      </w:pPr>
      <w:bookmarkStart w:id="74" w:name="_Toc61959017"/>
      <w:bookmarkStart w:id="75" w:name="_Toc515273923"/>
      <w:r>
        <w:rPr>
          <w:rFonts w:cs="Times New Roman"/>
        </w:rPr>
        <w:t>8.2监测仪器</w:t>
      </w:r>
      <w:bookmarkEnd w:id="74"/>
      <w:bookmarkEnd w:id="75"/>
    </w:p>
    <w:p>
      <w:pPr>
        <w:ind w:firstLine="480"/>
        <w:rPr>
          <w:rFonts w:eastAsia="宋体" w:cs="Times New Roman"/>
        </w:rPr>
      </w:pPr>
      <w:r>
        <w:rPr>
          <w:rFonts w:eastAsia="宋体" w:cs="Times New Roman"/>
        </w:rPr>
        <w:t>监测仪器见表8-2。</w:t>
      </w:r>
    </w:p>
    <w:p>
      <w:pPr>
        <w:pStyle w:val="31"/>
        <w:spacing w:before="62" w:after="31"/>
        <w:rPr>
          <w:rFonts w:eastAsia="宋体"/>
        </w:rPr>
      </w:pPr>
      <w:r>
        <w:rPr>
          <w:rFonts w:eastAsia="宋体"/>
        </w:rPr>
        <w:t>表8-2  分析监测</w:t>
      </w:r>
      <w:r>
        <w:rPr>
          <w:rFonts w:hint="eastAsia" w:eastAsia="宋体"/>
        </w:rPr>
        <w:t>设备</w:t>
      </w:r>
      <w:r>
        <w:rPr>
          <w:rFonts w:eastAsia="宋体"/>
        </w:rPr>
        <w:t>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2199"/>
        <w:gridCol w:w="3188"/>
        <w:gridCol w:w="1134"/>
        <w:gridCol w:w="1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Align w:val="center"/>
          </w:tcPr>
          <w:p>
            <w:pPr>
              <w:pStyle w:val="30"/>
              <w:rPr>
                <w:rFonts w:eastAsia="宋体" w:cs="Times New Roman"/>
                <w:b/>
                <w:bCs/>
                <w:szCs w:val="21"/>
              </w:rPr>
            </w:pPr>
            <w:r>
              <w:rPr>
                <w:rFonts w:eastAsia="宋体" w:cs="Times New Roman"/>
                <w:b/>
                <w:bCs/>
                <w:szCs w:val="21"/>
              </w:rPr>
              <w:t>类型</w:t>
            </w:r>
          </w:p>
        </w:tc>
        <w:tc>
          <w:tcPr>
            <w:tcW w:w="1260" w:type="pct"/>
            <w:vAlign w:val="center"/>
          </w:tcPr>
          <w:p>
            <w:pPr>
              <w:pStyle w:val="30"/>
              <w:rPr>
                <w:rFonts w:eastAsia="宋体" w:cs="Times New Roman"/>
                <w:b/>
                <w:bCs/>
                <w:szCs w:val="21"/>
              </w:rPr>
            </w:pPr>
            <w:r>
              <w:rPr>
                <w:rFonts w:eastAsia="宋体" w:cs="Times New Roman"/>
                <w:b/>
                <w:bCs/>
                <w:szCs w:val="21"/>
              </w:rPr>
              <w:t>监测项目</w:t>
            </w:r>
          </w:p>
        </w:tc>
        <w:tc>
          <w:tcPr>
            <w:tcW w:w="1827" w:type="pct"/>
            <w:vAlign w:val="center"/>
          </w:tcPr>
          <w:p>
            <w:pPr>
              <w:pStyle w:val="30"/>
              <w:rPr>
                <w:rFonts w:eastAsia="宋体" w:cs="Times New Roman"/>
                <w:b/>
                <w:bCs/>
                <w:szCs w:val="21"/>
              </w:rPr>
            </w:pPr>
            <w:r>
              <w:rPr>
                <w:rFonts w:eastAsia="宋体" w:cs="Times New Roman"/>
                <w:b/>
                <w:bCs/>
                <w:szCs w:val="21"/>
              </w:rPr>
              <w:t>仪器</w:t>
            </w:r>
          </w:p>
        </w:tc>
        <w:tc>
          <w:tcPr>
            <w:tcW w:w="650" w:type="pct"/>
            <w:vAlign w:val="center"/>
          </w:tcPr>
          <w:p>
            <w:pPr>
              <w:pStyle w:val="30"/>
              <w:rPr>
                <w:rFonts w:eastAsia="宋体" w:cs="Times New Roman"/>
                <w:b/>
                <w:bCs/>
                <w:szCs w:val="21"/>
              </w:rPr>
            </w:pPr>
            <w:r>
              <w:rPr>
                <w:rFonts w:eastAsia="宋体" w:cs="Times New Roman"/>
                <w:b/>
                <w:bCs/>
                <w:szCs w:val="21"/>
              </w:rPr>
              <w:t>编号</w:t>
            </w:r>
          </w:p>
        </w:tc>
        <w:tc>
          <w:tcPr>
            <w:tcW w:w="848" w:type="pct"/>
            <w:vAlign w:val="center"/>
          </w:tcPr>
          <w:p>
            <w:pPr>
              <w:pStyle w:val="30"/>
              <w:rPr>
                <w:rFonts w:eastAsia="宋体" w:cs="Times New Roman"/>
                <w:b/>
                <w:bCs/>
                <w:szCs w:val="21"/>
              </w:rPr>
            </w:pPr>
            <w:r>
              <w:rPr>
                <w:rFonts w:eastAsia="宋体" w:cs="Times New Roman"/>
                <w:b/>
                <w:bCs/>
                <w:szCs w:val="21"/>
              </w:rPr>
              <w:t>自校准或检定校准或计量检定情况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restart"/>
            <w:vAlign w:val="center"/>
          </w:tcPr>
          <w:p>
            <w:pPr>
              <w:pStyle w:val="30"/>
              <w:rPr>
                <w:rFonts w:eastAsia="宋体" w:cs="Times New Roman"/>
                <w:szCs w:val="21"/>
              </w:rPr>
            </w:pPr>
            <w:r>
              <w:rPr>
                <w:rFonts w:eastAsia="宋体" w:cs="Times New Roman"/>
                <w:szCs w:val="21"/>
              </w:rPr>
              <w:t>废水</w:t>
            </w:r>
          </w:p>
        </w:tc>
        <w:tc>
          <w:tcPr>
            <w:tcW w:w="1260" w:type="pct"/>
            <w:vAlign w:val="center"/>
          </w:tcPr>
          <w:p>
            <w:pPr>
              <w:pStyle w:val="30"/>
              <w:rPr>
                <w:rFonts w:eastAsia="宋体" w:cs="Times New Roman"/>
                <w:szCs w:val="21"/>
              </w:rPr>
            </w:pPr>
            <w:r>
              <w:rPr>
                <w:rFonts w:eastAsia="宋体" w:cs="Times New Roman"/>
                <w:szCs w:val="21"/>
              </w:rPr>
              <w:t>pH值</w:t>
            </w:r>
          </w:p>
        </w:tc>
        <w:tc>
          <w:tcPr>
            <w:tcW w:w="1827" w:type="pct"/>
            <w:vAlign w:val="center"/>
          </w:tcPr>
          <w:p>
            <w:pPr>
              <w:pStyle w:val="30"/>
              <w:rPr>
                <w:rFonts w:eastAsia="宋体" w:cs="Times New Roman"/>
                <w:szCs w:val="21"/>
              </w:rPr>
            </w:pPr>
            <w:r>
              <w:rPr>
                <w:rFonts w:eastAsia="宋体" w:cs="Times New Roman"/>
                <w:szCs w:val="21"/>
              </w:rPr>
              <w:t>SX751型PH/ORP/电导率/溶解氧测量仪</w:t>
            </w:r>
          </w:p>
        </w:tc>
        <w:tc>
          <w:tcPr>
            <w:tcW w:w="650" w:type="pct"/>
            <w:vAlign w:val="center"/>
          </w:tcPr>
          <w:p>
            <w:pPr>
              <w:pStyle w:val="30"/>
              <w:rPr>
                <w:rFonts w:eastAsia="宋体" w:cs="Times New Roman"/>
                <w:szCs w:val="21"/>
              </w:rPr>
            </w:pPr>
            <w:r>
              <w:rPr>
                <w:rFonts w:eastAsia="宋体" w:cs="Times New Roman"/>
                <w:szCs w:val="21"/>
              </w:rPr>
              <w:t>E-344</w:t>
            </w:r>
          </w:p>
        </w:tc>
        <w:tc>
          <w:tcPr>
            <w:tcW w:w="848" w:type="pct"/>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continue"/>
            <w:vAlign w:val="center"/>
          </w:tcPr>
          <w:p>
            <w:pPr>
              <w:pStyle w:val="30"/>
              <w:rPr>
                <w:rFonts w:eastAsia="宋体" w:cs="Times New Roman"/>
                <w:szCs w:val="21"/>
              </w:rPr>
            </w:pPr>
          </w:p>
        </w:tc>
        <w:tc>
          <w:tcPr>
            <w:tcW w:w="1260" w:type="pct"/>
            <w:vAlign w:val="center"/>
          </w:tcPr>
          <w:p>
            <w:pPr>
              <w:pStyle w:val="30"/>
              <w:rPr>
                <w:rFonts w:eastAsia="宋体" w:cs="Times New Roman"/>
                <w:szCs w:val="21"/>
              </w:rPr>
            </w:pPr>
            <w:r>
              <w:rPr>
                <w:rFonts w:eastAsia="宋体" w:cs="Times New Roman"/>
                <w:szCs w:val="21"/>
              </w:rPr>
              <w:t>化学需氧量</w:t>
            </w:r>
          </w:p>
        </w:tc>
        <w:tc>
          <w:tcPr>
            <w:tcW w:w="1827" w:type="pct"/>
            <w:vAlign w:val="center"/>
          </w:tcPr>
          <w:p>
            <w:pPr>
              <w:pStyle w:val="30"/>
              <w:rPr>
                <w:rFonts w:eastAsia="宋体" w:cs="Times New Roman"/>
                <w:szCs w:val="21"/>
              </w:rPr>
            </w:pPr>
            <w:r>
              <w:rPr>
                <w:rFonts w:eastAsia="宋体" w:cs="Times New Roman"/>
                <w:szCs w:val="21"/>
              </w:rPr>
              <w:t>50mL透明酸式滴定管</w:t>
            </w:r>
          </w:p>
        </w:tc>
        <w:tc>
          <w:tcPr>
            <w:tcW w:w="650" w:type="pct"/>
            <w:vAlign w:val="center"/>
          </w:tcPr>
          <w:p>
            <w:pPr>
              <w:pStyle w:val="30"/>
              <w:rPr>
                <w:rFonts w:eastAsia="宋体" w:cs="Times New Roman"/>
                <w:szCs w:val="21"/>
              </w:rPr>
            </w:pPr>
            <w:r>
              <w:rPr>
                <w:rFonts w:eastAsia="宋体" w:cs="Times New Roman"/>
                <w:szCs w:val="21"/>
              </w:rPr>
              <w:t>T-074</w:t>
            </w:r>
          </w:p>
        </w:tc>
        <w:tc>
          <w:tcPr>
            <w:tcW w:w="848" w:type="pct"/>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continue"/>
            <w:vAlign w:val="center"/>
          </w:tcPr>
          <w:p>
            <w:pPr>
              <w:pStyle w:val="30"/>
              <w:rPr>
                <w:rFonts w:eastAsia="宋体" w:cs="Times New Roman"/>
                <w:szCs w:val="21"/>
              </w:rPr>
            </w:pPr>
          </w:p>
        </w:tc>
        <w:tc>
          <w:tcPr>
            <w:tcW w:w="1260" w:type="pct"/>
            <w:vAlign w:val="center"/>
          </w:tcPr>
          <w:p>
            <w:pPr>
              <w:pStyle w:val="30"/>
              <w:rPr>
                <w:rFonts w:eastAsia="宋体" w:cs="Times New Roman"/>
                <w:szCs w:val="21"/>
              </w:rPr>
            </w:pPr>
            <w:r>
              <w:rPr>
                <w:rFonts w:eastAsia="宋体" w:cs="Times New Roman"/>
                <w:szCs w:val="21"/>
              </w:rPr>
              <w:t>氨氮</w:t>
            </w:r>
          </w:p>
        </w:tc>
        <w:tc>
          <w:tcPr>
            <w:tcW w:w="1827" w:type="pct"/>
            <w:vAlign w:val="center"/>
          </w:tcPr>
          <w:p>
            <w:pPr>
              <w:pStyle w:val="30"/>
              <w:rPr>
                <w:rFonts w:eastAsia="宋体" w:cs="Times New Roman"/>
                <w:szCs w:val="21"/>
              </w:rPr>
            </w:pPr>
            <w:r>
              <w:rPr>
                <w:rFonts w:eastAsia="宋体" w:cs="Times New Roman"/>
                <w:szCs w:val="21"/>
              </w:rPr>
              <w:t>722可见分光光度计</w:t>
            </w:r>
          </w:p>
        </w:tc>
        <w:tc>
          <w:tcPr>
            <w:tcW w:w="650" w:type="pct"/>
            <w:vAlign w:val="center"/>
          </w:tcPr>
          <w:p>
            <w:pPr>
              <w:pStyle w:val="30"/>
              <w:rPr>
                <w:rFonts w:eastAsia="宋体" w:cs="Times New Roman"/>
                <w:szCs w:val="21"/>
              </w:rPr>
            </w:pPr>
            <w:r>
              <w:rPr>
                <w:rFonts w:eastAsia="宋体" w:cs="Times New Roman"/>
                <w:szCs w:val="21"/>
              </w:rPr>
              <w:t>T-317</w:t>
            </w:r>
          </w:p>
        </w:tc>
        <w:tc>
          <w:tcPr>
            <w:tcW w:w="848" w:type="pct"/>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continue"/>
            <w:vAlign w:val="center"/>
          </w:tcPr>
          <w:p>
            <w:pPr>
              <w:pStyle w:val="30"/>
              <w:rPr>
                <w:rFonts w:eastAsia="宋体" w:cs="Times New Roman"/>
                <w:szCs w:val="21"/>
              </w:rPr>
            </w:pPr>
          </w:p>
        </w:tc>
        <w:tc>
          <w:tcPr>
            <w:tcW w:w="1260" w:type="pct"/>
            <w:vAlign w:val="center"/>
          </w:tcPr>
          <w:p>
            <w:pPr>
              <w:pStyle w:val="30"/>
              <w:rPr>
                <w:rFonts w:eastAsia="宋体" w:cs="Times New Roman"/>
                <w:szCs w:val="21"/>
              </w:rPr>
            </w:pPr>
            <w:r>
              <w:rPr>
                <w:rFonts w:eastAsia="宋体" w:cs="Times New Roman"/>
                <w:szCs w:val="21"/>
              </w:rPr>
              <w:t>悬浮物</w:t>
            </w:r>
          </w:p>
        </w:tc>
        <w:tc>
          <w:tcPr>
            <w:tcW w:w="1827" w:type="pct"/>
            <w:tcBorders>
              <w:bottom w:val="single" w:color="auto" w:sz="4" w:space="0"/>
            </w:tcBorders>
            <w:vAlign w:val="center"/>
          </w:tcPr>
          <w:p>
            <w:pPr>
              <w:pStyle w:val="30"/>
              <w:rPr>
                <w:rFonts w:eastAsia="宋体" w:cs="Times New Roman"/>
                <w:szCs w:val="21"/>
              </w:rPr>
            </w:pPr>
            <w:r>
              <w:rPr>
                <w:rFonts w:eastAsia="宋体" w:cs="Times New Roman"/>
                <w:szCs w:val="21"/>
              </w:rPr>
              <w:t>AUW120D电子天平</w:t>
            </w:r>
          </w:p>
        </w:tc>
        <w:tc>
          <w:tcPr>
            <w:tcW w:w="650" w:type="pct"/>
            <w:tcBorders>
              <w:bottom w:val="single" w:color="auto" w:sz="4" w:space="0"/>
            </w:tcBorders>
            <w:vAlign w:val="center"/>
          </w:tcPr>
          <w:p>
            <w:pPr>
              <w:pStyle w:val="30"/>
              <w:rPr>
                <w:rFonts w:eastAsia="宋体" w:cs="Times New Roman"/>
                <w:szCs w:val="21"/>
              </w:rPr>
            </w:pPr>
            <w:r>
              <w:rPr>
                <w:rFonts w:eastAsia="宋体" w:cs="Times New Roman"/>
                <w:szCs w:val="21"/>
              </w:rPr>
              <w:t>T-007</w:t>
            </w:r>
          </w:p>
        </w:tc>
        <w:tc>
          <w:tcPr>
            <w:tcW w:w="848" w:type="pct"/>
            <w:tcBorders>
              <w:bottom w:val="single" w:color="auto" w:sz="4" w:space="0"/>
            </w:tcBorders>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continue"/>
            <w:vAlign w:val="center"/>
          </w:tcPr>
          <w:p>
            <w:pPr>
              <w:pStyle w:val="30"/>
              <w:rPr>
                <w:rFonts w:eastAsia="宋体" w:cs="Times New Roman"/>
                <w:szCs w:val="21"/>
              </w:rPr>
            </w:pPr>
          </w:p>
        </w:tc>
        <w:tc>
          <w:tcPr>
            <w:tcW w:w="1260" w:type="pct"/>
            <w:vAlign w:val="center"/>
          </w:tcPr>
          <w:p>
            <w:pPr>
              <w:pStyle w:val="30"/>
              <w:rPr>
                <w:rFonts w:eastAsia="宋体" w:cs="Times New Roman"/>
                <w:szCs w:val="21"/>
              </w:rPr>
            </w:pPr>
            <w:r>
              <w:rPr>
                <w:rFonts w:eastAsia="宋体" w:cs="Times New Roman"/>
                <w:szCs w:val="21"/>
              </w:rPr>
              <w:t>五日生化需氧量</w:t>
            </w:r>
          </w:p>
        </w:tc>
        <w:tc>
          <w:tcPr>
            <w:tcW w:w="1827" w:type="pct"/>
            <w:tcBorders>
              <w:bottom w:val="single" w:color="auto" w:sz="4" w:space="0"/>
            </w:tcBorders>
            <w:vAlign w:val="center"/>
          </w:tcPr>
          <w:p>
            <w:pPr>
              <w:pStyle w:val="30"/>
              <w:rPr>
                <w:rFonts w:eastAsia="宋体" w:cs="Times New Roman"/>
                <w:szCs w:val="21"/>
              </w:rPr>
            </w:pPr>
            <w:r>
              <w:rPr>
                <w:rFonts w:eastAsia="宋体" w:cs="Times New Roman"/>
                <w:szCs w:val="21"/>
              </w:rPr>
              <w:t>生化培养箱LRH-250</w:t>
            </w:r>
          </w:p>
        </w:tc>
        <w:tc>
          <w:tcPr>
            <w:tcW w:w="650" w:type="pct"/>
            <w:tcBorders>
              <w:bottom w:val="single" w:color="auto" w:sz="4" w:space="0"/>
            </w:tcBorders>
            <w:vAlign w:val="center"/>
          </w:tcPr>
          <w:p>
            <w:pPr>
              <w:pStyle w:val="30"/>
              <w:rPr>
                <w:rFonts w:eastAsia="宋体" w:cs="Times New Roman"/>
                <w:szCs w:val="21"/>
              </w:rPr>
            </w:pPr>
            <w:r>
              <w:rPr>
                <w:rFonts w:eastAsia="宋体" w:cs="Times New Roman"/>
                <w:szCs w:val="21"/>
              </w:rPr>
              <w:t>T-004</w:t>
            </w:r>
          </w:p>
        </w:tc>
        <w:tc>
          <w:tcPr>
            <w:tcW w:w="848" w:type="pct"/>
            <w:tcBorders>
              <w:bottom w:val="single" w:color="auto" w:sz="4" w:space="0"/>
            </w:tcBorders>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continue"/>
            <w:vAlign w:val="center"/>
          </w:tcPr>
          <w:p>
            <w:pPr>
              <w:pStyle w:val="30"/>
              <w:rPr>
                <w:rFonts w:eastAsia="宋体" w:cs="Times New Roman"/>
                <w:szCs w:val="21"/>
              </w:rPr>
            </w:pPr>
          </w:p>
        </w:tc>
        <w:tc>
          <w:tcPr>
            <w:tcW w:w="1260" w:type="pct"/>
            <w:vAlign w:val="center"/>
          </w:tcPr>
          <w:p>
            <w:pPr>
              <w:pStyle w:val="30"/>
              <w:rPr>
                <w:rFonts w:eastAsia="宋体" w:cs="Times New Roman"/>
                <w:szCs w:val="21"/>
              </w:rPr>
            </w:pPr>
            <w:r>
              <w:rPr>
                <w:rFonts w:eastAsia="宋体" w:cs="Times New Roman"/>
                <w:szCs w:val="21"/>
              </w:rPr>
              <w:t>总磷</w:t>
            </w:r>
          </w:p>
        </w:tc>
        <w:tc>
          <w:tcPr>
            <w:tcW w:w="1827" w:type="pct"/>
            <w:tcBorders>
              <w:top w:val="single" w:color="auto" w:sz="4" w:space="0"/>
            </w:tcBorders>
            <w:vAlign w:val="center"/>
          </w:tcPr>
          <w:p>
            <w:pPr>
              <w:pStyle w:val="30"/>
              <w:rPr>
                <w:rFonts w:eastAsia="宋体" w:cs="Times New Roman"/>
                <w:szCs w:val="21"/>
              </w:rPr>
            </w:pPr>
            <w:r>
              <w:rPr>
                <w:rFonts w:eastAsia="宋体" w:cs="Times New Roman"/>
                <w:szCs w:val="21"/>
              </w:rPr>
              <w:t>722可见分光光度计</w:t>
            </w:r>
          </w:p>
        </w:tc>
        <w:tc>
          <w:tcPr>
            <w:tcW w:w="650" w:type="pct"/>
            <w:tcBorders>
              <w:top w:val="single" w:color="auto" w:sz="4" w:space="0"/>
            </w:tcBorders>
            <w:vAlign w:val="center"/>
          </w:tcPr>
          <w:p>
            <w:pPr>
              <w:pStyle w:val="30"/>
              <w:rPr>
                <w:rFonts w:eastAsia="宋体" w:cs="Times New Roman"/>
                <w:szCs w:val="21"/>
              </w:rPr>
            </w:pPr>
            <w:r>
              <w:rPr>
                <w:rFonts w:eastAsia="宋体" w:cs="Times New Roman"/>
                <w:szCs w:val="21"/>
              </w:rPr>
              <w:t>T-317</w:t>
            </w:r>
          </w:p>
        </w:tc>
        <w:tc>
          <w:tcPr>
            <w:tcW w:w="848" w:type="pct"/>
            <w:tcBorders>
              <w:top w:val="single" w:color="auto" w:sz="4" w:space="0"/>
            </w:tcBorders>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restart"/>
            <w:vAlign w:val="center"/>
          </w:tcPr>
          <w:p>
            <w:pPr>
              <w:pStyle w:val="30"/>
              <w:rPr>
                <w:rFonts w:eastAsia="宋体" w:cs="Times New Roman"/>
                <w:szCs w:val="21"/>
              </w:rPr>
            </w:pPr>
            <w:r>
              <w:rPr>
                <w:rFonts w:eastAsia="宋体" w:cs="Times New Roman"/>
                <w:szCs w:val="21"/>
              </w:rPr>
              <w:t>废气</w:t>
            </w:r>
          </w:p>
        </w:tc>
        <w:tc>
          <w:tcPr>
            <w:tcW w:w="1260" w:type="pct"/>
            <w:vAlign w:val="center"/>
          </w:tcPr>
          <w:p>
            <w:pPr>
              <w:pStyle w:val="30"/>
              <w:rPr>
                <w:rFonts w:eastAsia="宋体" w:cs="Times New Roman"/>
                <w:szCs w:val="21"/>
              </w:rPr>
            </w:pPr>
            <w:r>
              <w:rPr>
                <w:rFonts w:eastAsia="宋体" w:cs="Times New Roman"/>
                <w:szCs w:val="21"/>
              </w:rPr>
              <w:t>总悬浮颗粒物</w:t>
            </w:r>
          </w:p>
        </w:tc>
        <w:tc>
          <w:tcPr>
            <w:tcW w:w="1827" w:type="pct"/>
            <w:vAlign w:val="center"/>
          </w:tcPr>
          <w:p>
            <w:pPr>
              <w:pStyle w:val="30"/>
              <w:rPr>
                <w:rFonts w:eastAsia="宋体" w:cs="Times New Roman"/>
                <w:szCs w:val="21"/>
              </w:rPr>
            </w:pPr>
            <w:r>
              <w:rPr>
                <w:rFonts w:eastAsia="宋体" w:cs="Times New Roman"/>
                <w:szCs w:val="21"/>
              </w:rPr>
              <w:t>ATY224电子天平</w:t>
            </w:r>
          </w:p>
        </w:tc>
        <w:tc>
          <w:tcPr>
            <w:tcW w:w="650" w:type="pct"/>
            <w:vAlign w:val="center"/>
          </w:tcPr>
          <w:p>
            <w:pPr>
              <w:pStyle w:val="30"/>
              <w:rPr>
                <w:rFonts w:eastAsia="宋体" w:cs="Times New Roman"/>
                <w:szCs w:val="21"/>
              </w:rPr>
            </w:pPr>
            <w:r>
              <w:rPr>
                <w:rFonts w:eastAsia="宋体" w:cs="Times New Roman"/>
                <w:szCs w:val="21"/>
              </w:rPr>
              <w:t>T-006</w:t>
            </w:r>
          </w:p>
        </w:tc>
        <w:tc>
          <w:tcPr>
            <w:tcW w:w="848" w:type="pct"/>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continue"/>
            <w:vAlign w:val="center"/>
          </w:tcPr>
          <w:p>
            <w:pPr>
              <w:pStyle w:val="30"/>
              <w:rPr>
                <w:rFonts w:eastAsia="宋体" w:cs="Times New Roman"/>
                <w:szCs w:val="21"/>
              </w:rPr>
            </w:pPr>
          </w:p>
        </w:tc>
        <w:tc>
          <w:tcPr>
            <w:tcW w:w="1260" w:type="pct"/>
            <w:vAlign w:val="center"/>
          </w:tcPr>
          <w:p>
            <w:pPr>
              <w:pStyle w:val="30"/>
              <w:rPr>
                <w:rFonts w:eastAsia="宋体" w:cs="Times New Roman"/>
                <w:szCs w:val="21"/>
              </w:rPr>
            </w:pPr>
            <w:r>
              <w:rPr>
                <w:rFonts w:eastAsia="宋体" w:cs="Times New Roman"/>
                <w:szCs w:val="21"/>
              </w:rPr>
              <w:t>烟气参数</w:t>
            </w:r>
          </w:p>
        </w:tc>
        <w:tc>
          <w:tcPr>
            <w:tcW w:w="1827" w:type="pct"/>
            <w:vAlign w:val="center"/>
          </w:tcPr>
          <w:p>
            <w:pPr>
              <w:pStyle w:val="30"/>
              <w:rPr>
                <w:rFonts w:eastAsia="宋体" w:cs="Times New Roman"/>
                <w:szCs w:val="21"/>
              </w:rPr>
            </w:pPr>
            <w:r>
              <w:rPr>
                <w:rFonts w:eastAsia="宋体" w:cs="Times New Roman"/>
                <w:szCs w:val="21"/>
              </w:rPr>
              <w:t>YQ3000-C全自动烟尘（气）测试仪</w:t>
            </w:r>
          </w:p>
        </w:tc>
        <w:tc>
          <w:tcPr>
            <w:tcW w:w="650" w:type="pct"/>
            <w:vAlign w:val="center"/>
          </w:tcPr>
          <w:p>
            <w:pPr>
              <w:pStyle w:val="30"/>
              <w:rPr>
                <w:rFonts w:eastAsia="宋体" w:cs="Times New Roman"/>
                <w:szCs w:val="21"/>
              </w:rPr>
            </w:pPr>
            <w:r>
              <w:rPr>
                <w:rFonts w:eastAsia="宋体" w:cs="Times New Roman"/>
                <w:szCs w:val="21"/>
              </w:rPr>
              <w:t>E-149、E-100</w:t>
            </w:r>
          </w:p>
        </w:tc>
        <w:tc>
          <w:tcPr>
            <w:tcW w:w="848" w:type="pct"/>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continue"/>
            <w:vAlign w:val="center"/>
          </w:tcPr>
          <w:p>
            <w:pPr>
              <w:pStyle w:val="30"/>
              <w:rPr>
                <w:rFonts w:eastAsia="宋体" w:cs="Times New Roman"/>
                <w:szCs w:val="21"/>
              </w:rPr>
            </w:pPr>
          </w:p>
        </w:tc>
        <w:tc>
          <w:tcPr>
            <w:tcW w:w="1260" w:type="pct"/>
            <w:vAlign w:val="center"/>
          </w:tcPr>
          <w:p>
            <w:pPr>
              <w:pStyle w:val="30"/>
              <w:rPr>
                <w:rFonts w:eastAsia="宋体" w:cs="Times New Roman"/>
                <w:szCs w:val="21"/>
              </w:rPr>
            </w:pPr>
            <w:r>
              <w:rPr>
                <w:rFonts w:eastAsia="宋体" w:cs="Times New Roman"/>
                <w:szCs w:val="21"/>
              </w:rPr>
              <w:t>颗粒物</w:t>
            </w:r>
          </w:p>
        </w:tc>
        <w:tc>
          <w:tcPr>
            <w:tcW w:w="1827" w:type="pct"/>
            <w:vAlign w:val="center"/>
          </w:tcPr>
          <w:p>
            <w:pPr>
              <w:pStyle w:val="30"/>
              <w:rPr>
                <w:rFonts w:eastAsia="宋体" w:cs="Times New Roman"/>
                <w:szCs w:val="21"/>
              </w:rPr>
            </w:pPr>
            <w:r>
              <w:rPr>
                <w:rFonts w:eastAsia="宋体" w:cs="Times New Roman"/>
                <w:szCs w:val="21"/>
              </w:rPr>
              <w:t>ATY224电子天平</w:t>
            </w:r>
          </w:p>
        </w:tc>
        <w:tc>
          <w:tcPr>
            <w:tcW w:w="650" w:type="pct"/>
            <w:vAlign w:val="center"/>
          </w:tcPr>
          <w:p>
            <w:pPr>
              <w:pStyle w:val="30"/>
              <w:rPr>
                <w:rFonts w:eastAsia="宋体" w:cs="Times New Roman"/>
                <w:szCs w:val="21"/>
              </w:rPr>
            </w:pPr>
            <w:r>
              <w:rPr>
                <w:rFonts w:eastAsia="宋体" w:cs="Times New Roman"/>
                <w:szCs w:val="21"/>
              </w:rPr>
              <w:t>T-006</w:t>
            </w:r>
          </w:p>
        </w:tc>
        <w:tc>
          <w:tcPr>
            <w:tcW w:w="848" w:type="pct"/>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continue"/>
            <w:vAlign w:val="center"/>
          </w:tcPr>
          <w:p>
            <w:pPr>
              <w:pStyle w:val="30"/>
              <w:rPr>
                <w:rFonts w:eastAsia="宋体" w:cs="Times New Roman"/>
                <w:szCs w:val="21"/>
              </w:rPr>
            </w:pPr>
          </w:p>
        </w:tc>
        <w:tc>
          <w:tcPr>
            <w:tcW w:w="1260" w:type="pct"/>
            <w:vAlign w:val="center"/>
          </w:tcPr>
          <w:p>
            <w:pPr>
              <w:pStyle w:val="30"/>
              <w:rPr>
                <w:rFonts w:eastAsia="宋体" w:cs="Times New Roman"/>
                <w:szCs w:val="21"/>
              </w:rPr>
            </w:pPr>
            <w:r>
              <w:rPr>
                <w:rFonts w:eastAsia="宋体" w:cs="Times New Roman"/>
                <w:szCs w:val="21"/>
              </w:rPr>
              <w:t>颗粒物</w:t>
            </w:r>
          </w:p>
        </w:tc>
        <w:tc>
          <w:tcPr>
            <w:tcW w:w="1827" w:type="pct"/>
            <w:vAlign w:val="center"/>
          </w:tcPr>
          <w:p>
            <w:pPr>
              <w:pStyle w:val="30"/>
              <w:rPr>
                <w:rFonts w:eastAsia="宋体" w:cs="Times New Roman"/>
                <w:szCs w:val="21"/>
              </w:rPr>
            </w:pPr>
            <w:r>
              <w:rPr>
                <w:rFonts w:eastAsia="宋体" w:cs="Times New Roman"/>
                <w:szCs w:val="21"/>
              </w:rPr>
              <w:t>AUW120D电子天平</w:t>
            </w:r>
          </w:p>
        </w:tc>
        <w:tc>
          <w:tcPr>
            <w:tcW w:w="650" w:type="pct"/>
            <w:vAlign w:val="center"/>
          </w:tcPr>
          <w:p>
            <w:pPr>
              <w:pStyle w:val="30"/>
              <w:rPr>
                <w:rFonts w:eastAsia="宋体" w:cs="Times New Roman"/>
                <w:szCs w:val="21"/>
              </w:rPr>
            </w:pPr>
            <w:r>
              <w:rPr>
                <w:rFonts w:eastAsia="宋体" w:cs="Times New Roman"/>
                <w:szCs w:val="21"/>
              </w:rPr>
              <w:t>T-007</w:t>
            </w:r>
          </w:p>
        </w:tc>
        <w:tc>
          <w:tcPr>
            <w:tcW w:w="848" w:type="pct"/>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restart"/>
            <w:vAlign w:val="center"/>
          </w:tcPr>
          <w:p>
            <w:pPr>
              <w:pStyle w:val="30"/>
              <w:rPr>
                <w:rFonts w:eastAsia="宋体" w:cs="Times New Roman"/>
                <w:szCs w:val="21"/>
              </w:rPr>
            </w:pPr>
            <w:r>
              <w:rPr>
                <w:rFonts w:eastAsia="宋体" w:cs="Times New Roman"/>
                <w:szCs w:val="21"/>
              </w:rPr>
              <w:t>噪声</w:t>
            </w:r>
          </w:p>
        </w:tc>
        <w:tc>
          <w:tcPr>
            <w:tcW w:w="1260" w:type="pct"/>
            <w:vAlign w:val="center"/>
          </w:tcPr>
          <w:p>
            <w:pPr>
              <w:pStyle w:val="30"/>
              <w:rPr>
                <w:rFonts w:eastAsia="宋体" w:cs="Times New Roman"/>
                <w:szCs w:val="21"/>
              </w:rPr>
            </w:pPr>
            <w:r>
              <w:rPr>
                <w:rFonts w:eastAsia="宋体" w:cs="Times New Roman"/>
                <w:szCs w:val="21"/>
              </w:rPr>
              <w:t>工业企业厂界噪声</w:t>
            </w:r>
          </w:p>
        </w:tc>
        <w:tc>
          <w:tcPr>
            <w:tcW w:w="1827" w:type="pct"/>
            <w:vMerge w:val="restart"/>
            <w:vAlign w:val="center"/>
          </w:tcPr>
          <w:p>
            <w:pPr>
              <w:pStyle w:val="30"/>
              <w:rPr>
                <w:rFonts w:eastAsia="宋体" w:cs="Times New Roman"/>
                <w:szCs w:val="21"/>
              </w:rPr>
            </w:pPr>
            <w:r>
              <w:rPr>
                <w:rFonts w:eastAsia="宋体" w:cs="Times New Roman"/>
                <w:szCs w:val="21"/>
              </w:rPr>
              <w:t>AWA6228+多功能声级计</w:t>
            </w:r>
          </w:p>
        </w:tc>
        <w:tc>
          <w:tcPr>
            <w:tcW w:w="650" w:type="pct"/>
            <w:vMerge w:val="restart"/>
            <w:vAlign w:val="center"/>
          </w:tcPr>
          <w:p>
            <w:pPr>
              <w:pStyle w:val="30"/>
              <w:rPr>
                <w:rFonts w:eastAsia="宋体" w:cs="Times New Roman"/>
                <w:szCs w:val="21"/>
              </w:rPr>
            </w:pPr>
            <w:r>
              <w:rPr>
                <w:rFonts w:eastAsia="宋体" w:cs="Times New Roman"/>
                <w:szCs w:val="21"/>
              </w:rPr>
              <w:t>E-027</w:t>
            </w:r>
          </w:p>
        </w:tc>
        <w:tc>
          <w:tcPr>
            <w:tcW w:w="848" w:type="pct"/>
            <w:vMerge w:val="restart"/>
            <w:vAlign w:val="center"/>
          </w:tcPr>
          <w:p>
            <w:pPr>
              <w:pStyle w:val="30"/>
              <w:rPr>
                <w:rFonts w:eastAsia="宋体" w:cs="Times New Roman"/>
                <w:szCs w:val="21"/>
              </w:rPr>
            </w:pPr>
            <w:r>
              <w:rPr>
                <w:rFonts w:eastAsia="宋体" w:cs="Times New Roman"/>
                <w:szCs w:val="21"/>
              </w:rPr>
              <w:t>已检定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12" w:type="pct"/>
            <w:vMerge w:val="continue"/>
            <w:vAlign w:val="center"/>
          </w:tcPr>
          <w:p>
            <w:pPr>
              <w:pStyle w:val="30"/>
              <w:rPr>
                <w:rFonts w:eastAsia="宋体" w:cs="Times New Roman"/>
                <w:szCs w:val="21"/>
              </w:rPr>
            </w:pPr>
          </w:p>
        </w:tc>
        <w:tc>
          <w:tcPr>
            <w:tcW w:w="1260" w:type="pct"/>
            <w:vAlign w:val="center"/>
          </w:tcPr>
          <w:p>
            <w:pPr>
              <w:pStyle w:val="30"/>
              <w:rPr>
                <w:rFonts w:eastAsia="宋体" w:cs="Times New Roman"/>
                <w:szCs w:val="21"/>
              </w:rPr>
            </w:pPr>
            <w:r>
              <w:rPr>
                <w:rFonts w:eastAsia="宋体" w:cs="Times New Roman"/>
                <w:szCs w:val="21"/>
              </w:rPr>
              <w:t>区域环境噪声</w:t>
            </w:r>
          </w:p>
        </w:tc>
        <w:tc>
          <w:tcPr>
            <w:tcW w:w="1827" w:type="pct"/>
            <w:vMerge w:val="continue"/>
            <w:vAlign w:val="center"/>
          </w:tcPr>
          <w:p>
            <w:pPr>
              <w:pStyle w:val="30"/>
              <w:rPr>
                <w:rFonts w:eastAsia="宋体" w:cs="Times New Roman"/>
                <w:szCs w:val="21"/>
              </w:rPr>
            </w:pPr>
          </w:p>
        </w:tc>
        <w:tc>
          <w:tcPr>
            <w:tcW w:w="650" w:type="pct"/>
            <w:vMerge w:val="continue"/>
            <w:vAlign w:val="center"/>
          </w:tcPr>
          <w:p>
            <w:pPr>
              <w:pStyle w:val="30"/>
              <w:rPr>
                <w:rFonts w:eastAsia="宋体" w:cs="Times New Roman"/>
                <w:szCs w:val="21"/>
              </w:rPr>
            </w:pPr>
          </w:p>
        </w:tc>
        <w:tc>
          <w:tcPr>
            <w:tcW w:w="848" w:type="pct"/>
            <w:vMerge w:val="continue"/>
            <w:vAlign w:val="center"/>
          </w:tcPr>
          <w:p>
            <w:pPr>
              <w:pStyle w:val="30"/>
              <w:rPr>
                <w:rFonts w:eastAsia="宋体" w:cs="Times New Roman"/>
                <w:szCs w:val="21"/>
              </w:rPr>
            </w:pPr>
          </w:p>
        </w:tc>
      </w:tr>
    </w:tbl>
    <w:p>
      <w:pPr>
        <w:pStyle w:val="5"/>
        <w:rPr>
          <w:rFonts w:cs="Times New Roman"/>
        </w:rPr>
      </w:pPr>
      <w:bookmarkStart w:id="76" w:name="_Toc61959018"/>
      <w:r>
        <w:rPr>
          <w:rFonts w:cs="Times New Roman"/>
        </w:rPr>
        <w:t>8.3水质监测分析过程中的质量保证和质量控制</w:t>
      </w:r>
      <w:bookmarkEnd w:id="76"/>
    </w:p>
    <w:p>
      <w:pPr>
        <w:ind w:firstLine="480"/>
        <w:rPr>
          <w:rFonts w:eastAsia="宋体" w:cs="Times New Roman"/>
        </w:rPr>
      </w:pPr>
      <w:r>
        <w:rPr>
          <w:rFonts w:eastAsia="宋体" w:cs="Times New Roman"/>
        </w:rPr>
        <w:t>水样的采集、运输、保存、实验室分析和数据计算的全过程均按《水和废水监测分析方法》（第四版增补版）的要求进行。</w:t>
      </w:r>
    </w:p>
    <w:p>
      <w:pPr>
        <w:pStyle w:val="5"/>
        <w:rPr>
          <w:rFonts w:cs="Times New Roman"/>
        </w:rPr>
      </w:pPr>
      <w:bookmarkStart w:id="77" w:name="_Toc61959019"/>
      <w:r>
        <w:rPr>
          <w:rFonts w:cs="Times New Roman"/>
        </w:rPr>
        <w:t>8.4废气监测分析过程中的质量保证和质量控制</w:t>
      </w:r>
      <w:bookmarkEnd w:id="77"/>
    </w:p>
    <w:p>
      <w:pPr>
        <w:ind w:firstLine="480"/>
        <w:rPr>
          <w:rFonts w:eastAsia="宋体" w:cs="Times New Roman"/>
        </w:rPr>
      </w:pPr>
      <w:r>
        <w:rPr>
          <w:rFonts w:eastAsia="宋体" w:cs="Times New Roman"/>
        </w:rPr>
        <w:t>实行全过程的质量保证，按《环境监测技术规范》和《固定污染源监测质量保证与质量控制技术规范（试行）》（HJ/T373-2007）中的要求进行全过程质量控制。</w:t>
      </w:r>
    </w:p>
    <w:p>
      <w:pPr>
        <w:pStyle w:val="5"/>
        <w:rPr>
          <w:rFonts w:cs="Times New Roman"/>
        </w:rPr>
      </w:pPr>
      <w:bookmarkStart w:id="78" w:name="_Toc61959020"/>
      <w:r>
        <w:rPr>
          <w:rFonts w:cs="Times New Roman"/>
        </w:rPr>
        <w:t>8.5噪声监测分析过程中的质量保证和质量控制</w:t>
      </w:r>
      <w:bookmarkEnd w:id="78"/>
    </w:p>
    <w:p>
      <w:pPr>
        <w:ind w:firstLine="480"/>
        <w:rPr>
          <w:rFonts w:eastAsia="宋体" w:cs="Times New Roman"/>
        </w:rPr>
      </w:pPr>
      <w:r>
        <w:rPr>
          <w:rFonts w:eastAsia="宋体" w:cs="Times New Roman"/>
        </w:rPr>
        <w:t>声级计在测试前后用标准发生源进行校准，测量前后仪器的灵敏度相差不大于0.5dB。</w:t>
      </w:r>
    </w:p>
    <w:p>
      <w:pPr>
        <w:pStyle w:val="2"/>
        <w:ind w:left="480" w:firstLine="480"/>
        <w:rPr>
          <w:rFonts w:eastAsia="宋体" w:cs="Times New Roman"/>
        </w:rPr>
      </w:pPr>
    </w:p>
    <w:p>
      <w:pPr>
        <w:pStyle w:val="4"/>
        <w:rPr>
          <w:rFonts w:cs="Times New Roman"/>
        </w:rPr>
        <w:sectPr>
          <w:pgSz w:w="11906" w:h="16838"/>
          <w:pgMar w:top="1418" w:right="1701" w:bottom="1418" w:left="1701" w:header="851" w:footer="992" w:gutter="0"/>
          <w:pgNumType w:fmt="numberInDash"/>
          <w:cols w:space="425" w:num="1"/>
          <w:docGrid w:type="lines" w:linePitch="312" w:charSpace="0"/>
        </w:sectPr>
      </w:pPr>
      <w:bookmarkStart w:id="79" w:name="_Toc515273928"/>
      <w:bookmarkStart w:id="80" w:name="_Toc61959021"/>
    </w:p>
    <w:p>
      <w:pPr>
        <w:pStyle w:val="4"/>
        <w:rPr>
          <w:rFonts w:cs="Times New Roman"/>
        </w:rPr>
      </w:pPr>
      <w:r>
        <w:rPr>
          <w:rFonts w:cs="Times New Roman"/>
        </w:rPr>
        <w:t>9验收监测结果</w:t>
      </w:r>
      <w:bookmarkEnd w:id="79"/>
      <w:bookmarkEnd w:id="80"/>
    </w:p>
    <w:p>
      <w:pPr>
        <w:pStyle w:val="5"/>
        <w:rPr>
          <w:rFonts w:cs="Times New Roman"/>
        </w:rPr>
      </w:pPr>
      <w:bookmarkStart w:id="81" w:name="_Toc61959022"/>
      <w:bookmarkStart w:id="82" w:name="_Toc515273929"/>
      <w:r>
        <w:rPr>
          <w:rFonts w:cs="Times New Roman"/>
        </w:rPr>
        <w:t>9.1生产工况</w:t>
      </w:r>
      <w:bookmarkEnd w:id="81"/>
      <w:bookmarkEnd w:id="82"/>
    </w:p>
    <w:p>
      <w:pPr>
        <w:ind w:firstLine="480"/>
        <w:rPr>
          <w:rFonts w:eastAsia="宋体" w:cs="Times New Roman"/>
        </w:rPr>
      </w:pPr>
      <w:r>
        <w:rPr>
          <w:rFonts w:eastAsia="宋体" w:cs="Times New Roman"/>
        </w:rPr>
        <w:t>验收监测期间各设备运转正常，已建项目各设备运转正常，因此监测数据可作为该项目竣工环保验收的依据，具体见表9-1。</w:t>
      </w:r>
    </w:p>
    <w:p>
      <w:pPr>
        <w:pStyle w:val="31"/>
        <w:spacing w:before="62" w:after="31"/>
        <w:rPr>
          <w:rFonts w:eastAsia="宋体"/>
        </w:rPr>
      </w:pPr>
      <w:r>
        <w:rPr>
          <w:rFonts w:eastAsia="宋体"/>
        </w:rPr>
        <w:t>表9-1  验收监测期间生产负荷</w:t>
      </w:r>
    </w:p>
    <w:tbl>
      <w:tblPr>
        <w:tblStyle w:val="21"/>
        <w:tblW w:w="84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8"/>
        <w:gridCol w:w="1701"/>
        <w:gridCol w:w="1333"/>
        <w:gridCol w:w="1930"/>
        <w:gridCol w:w="1131"/>
        <w:gridCol w:w="1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8" w:type="dxa"/>
            <w:vAlign w:val="center"/>
          </w:tcPr>
          <w:p>
            <w:pPr>
              <w:pStyle w:val="30"/>
              <w:rPr>
                <w:rFonts w:eastAsia="宋体" w:cs="Times New Roman"/>
                <w:b/>
                <w:bCs/>
              </w:rPr>
            </w:pPr>
            <w:r>
              <w:rPr>
                <w:rFonts w:eastAsia="宋体" w:cs="Times New Roman"/>
                <w:b/>
                <w:bCs/>
              </w:rPr>
              <w:t>产品名称</w:t>
            </w:r>
          </w:p>
        </w:tc>
        <w:tc>
          <w:tcPr>
            <w:tcW w:w="1701" w:type="dxa"/>
            <w:vAlign w:val="center"/>
          </w:tcPr>
          <w:p>
            <w:pPr>
              <w:pStyle w:val="30"/>
              <w:rPr>
                <w:rFonts w:eastAsia="宋体" w:cs="Times New Roman"/>
                <w:b/>
                <w:bCs/>
              </w:rPr>
            </w:pPr>
            <w:r>
              <w:rPr>
                <w:rFonts w:eastAsia="宋体" w:cs="Times New Roman"/>
                <w:b/>
                <w:bCs/>
              </w:rPr>
              <w:t>环评设计年产量</w:t>
            </w:r>
          </w:p>
        </w:tc>
        <w:tc>
          <w:tcPr>
            <w:tcW w:w="1333" w:type="dxa"/>
            <w:vAlign w:val="center"/>
          </w:tcPr>
          <w:p>
            <w:pPr>
              <w:pStyle w:val="30"/>
              <w:rPr>
                <w:rFonts w:eastAsia="宋体" w:cs="Times New Roman"/>
                <w:b/>
                <w:bCs/>
              </w:rPr>
            </w:pPr>
            <w:r>
              <w:rPr>
                <w:rFonts w:eastAsia="宋体" w:cs="Times New Roman"/>
                <w:b/>
                <w:bCs/>
              </w:rPr>
              <w:t>环评日产量</w:t>
            </w:r>
          </w:p>
        </w:tc>
        <w:tc>
          <w:tcPr>
            <w:tcW w:w="3061" w:type="dxa"/>
            <w:gridSpan w:val="2"/>
            <w:vAlign w:val="center"/>
          </w:tcPr>
          <w:p>
            <w:pPr>
              <w:pStyle w:val="30"/>
              <w:rPr>
                <w:rFonts w:eastAsia="宋体" w:cs="Times New Roman"/>
                <w:b/>
                <w:bCs/>
              </w:rPr>
            </w:pPr>
            <w:r>
              <w:rPr>
                <w:rFonts w:eastAsia="宋体" w:cs="Times New Roman"/>
                <w:b/>
                <w:bCs/>
              </w:rPr>
              <w:t>验收期间产量</w:t>
            </w:r>
          </w:p>
        </w:tc>
        <w:tc>
          <w:tcPr>
            <w:tcW w:w="1122" w:type="dxa"/>
            <w:vAlign w:val="center"/>
          </w:tcPr>
          <w:p>
            <w:pPr>
              <w:pStyle w:val="30"/>
              <w:rPr>
                <w:rFonts w:eastAsia="宋体" w:cs="Times New Roman"/>
                <w:b/>
                <w:bCs/>
              </w:rPr>
            </w:pPr>
            <w:r>
              <w:rPr>
                <w:rFonts w:eastAsia="宋体" w:cs="Times New Roman"/>
                <w:b/>
                <w:bCs/>
              </w:rPr>
              <w:t>负荷率（%）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8" w:type="dxa"/>
            <w:vMerge w:val="restart"/>
            <w:vAlign w:val="center"/>
          </w:tcPr>
          <w:p>
            <w:pPr>
              <w:pStyle w:val="30"/>
              <w:rPr>
                <w:rFonts w:eastAsia="宋体" w:cs="Times New Roman"/>
              </w:rPr>
            </w:pPr>
            <w:r>
              <w:rPr>
                <w:rFonts w:eastAsia="宋体" w:cs="Times New Roman"/>
              </w:rPr>
              <w:t>毛条</w:t>
            </w:r>
          </w:p>
        </w:tc>
        <w:tc>
          <w:tcPr>
            <w:tcW w:w="1701" w:type="dxa"/>
            <w:vMerge w:val="restart"/>
            <w:vAlign w:val="center"/>
          </w:tcPr>
          <w:p>
            <w:pPr>
              <w:pStyle w:val="30"/>
              <w:rPr>
                <w:rFonts w:eastAsia="宋体" w:cs="Times New Roman"/>
              </w:rPr>
            </w:pPr>
            <w:r>
              <w:rPr>
                <w:rFonts w:eastAsia="宋体" w:cs="Times New Roman"/>
              </w:rPr>
              <w:t>2000t/a</w:t>
            </w:r>
          </w:p>
        </w:tc>
        <w:tc>
          <w:tcPr>
            <w:tcW w:w="1333" w:type="dxa"/>
            <w:vMerge w:val="restart"/>
            <w:vAlign w:val="center"/>
          </w:tcPr>
          <w:p>
            <w:pPr>
              <w:pStyle w:val="30"/>
              <w:rPr>
                <w:rFonts w:eastAsia="宋体" w:cs="Times New Roman"/>
              </w:rPr>
            </w:pPr>
            <w:r>
              <w:rPr>
                <w:rFonts w:eastAsia="宋体" w:cs="Times New Roman"/>
              </w:rPr>
              <w:t>6.67t/d</w:t>
            </w:r>
          </w:p>
        </w:tc>
        <w:tc>
          <w:tcPr>
            <w:tcW w:w="1930" w:type="dxa"/>
            <w:vAlign w:val="center"/>
          </w:tcPr>
          <w:p>
            <w:pPr>
              <w:pStyle w:val="30"/>
              <w:rPr>
                <w:rFonts w:eastAsia="宋体" w:cs="Times New Roman"/>
              </w:rPr>
            </w:pPr>
            <w:r>
              <w:rPr>
                <w:rFonts w:eastAsia="宋体" w:cs="Times New Roman"/>
              </w:rPr>
              <w:t>2021年10月24日</w:t>
            </w:r>
          </w:p>
        </w:tc>
        <w:tc>
          <w:tcPr>
            <w:tcW w:w="1131" w:type="dxa"/>
            <w:vAlign w:val="center"/>
          </w:tcPr>
          <w:p>
            <w:pPr>
              <w:pStyle w:val="30"/>
              <w:rPr>
                <w:rFonts w:eastAsia="宋体" w:cs="Times New Roman"/>
              </w:rPr>
            </w:pPr>
            <w:r>
              <w:rPr>
                <w:rFonts w:eastAsia="宋体" w:cs="Times New Roman"/>
              </w:rPr>
              <w:t>6t</w:t>
            </w:r>
          </w:p>
        </w:tc>
        <w:tc>
          <w:tcPr>
            <w:tcW w:w="1122" w:type="dxa"/>
            <w:vAlign w:val="center"/>
          </w:tcPr>
          <w:p>
            <w:pPr>
              <w:pStyle w:val="30"/>
              <w:rPr>
                <w:rFonts w:eastAsia="宋体" w:cs="Times New Roman"/>
              </w:rPr>
            </w:pPr>
            <w:r>
              <w:rPr>
                <w:rFonts w:eastAsia="宋体" w:cs="Times New Roma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8" w:type="dxa"/>
            <w:vMerge w:val="continue"/>
            <w:vAlign w:val="center"/>
          </w:tcPr>
          <w:p>
            <w:pPr>
              <w:pStyle w:val="30"/>
              <w:rPr>
                <w:rFonts w:eastAsia="宋体" w:cs="Times New Roman"/>
              </w:rPr>
            </w:pPr>
          </w:p>
        </w:tc>
        <w:tc>
          <w:tcPr>
            <w:tcW w:w="1701" w:type="dxa"/>
            <w:vMerge w:val="continue"/>
            <w:vAlign w:val="center"/>
          </w:tcPr>
          <w:p>
            <w:pPr>
              <w:pStyle w:val="30"/>
              <w:rPr>
                <w:rFonts w:eastAsia="宋体" w:cs="Times New Roman"/>
              </w:rPr>
            </w:pPr>
          </w:p>
        </w:tc>
        <w:tc>
          <w:tcPr>
            <w:tcW w:w="1333" w:type="dxa"/>
            <w:vMerge w:val="continue"/>
            <w:vAlign w:val="center"/>
          </w:tcPr>
          <w:p>
            <w:pPr>
              <w:pStyle w:val="30"/>
              <w:rPr>
                <w:rFonts w:eastAsia="宋体" w:cs="Times New Roman"/>
              </w:rPr>
            </w:pPr>
          </w:p>
        </w:tc>
        <w:tc>
          <w:tcPr>
            <w:tcW w:w="1930" w:type="dxa"/>
            <w:vAlign w:val="center"/>
          </w:tcPr>
          <w:p>
            <w:pPr>
              <w:pStyle w:val="30"/>
              <w:rPr>
                <w:rFonts w:eastAsia="宋体" w:cs="Times New Roman"/>
              </w:rPr>
            </w:pPr>
            <w:r>
              <w:rPr>
                <w:rFonts w:eastAsia="宋体" w:cs="Times New Roman"/>
              </w:rPr>
              <w:t>2021年10月</w:t>
            </w:r>
            <w:r>
              <w:rPr>
                <w:rFonts w:hint="eastAsia" w:eastAsia="宋体" w:cs="Times New Roman"/>
              </w:rPr>
              <w:t>2</w:t>
            </w:r>
            <w:r>
              <w:rPr>
                <w:rFonts w:eastAsia="宋体" w:cs="Times New Roman"/>
              </w:rPr>
              <w:t>5日</w:t>
            </w:r>
          </w:p>
        </w:tc>
        <w:tc>
          <w:tcPr>
            <w:tcW w:w="1131" w:type="dxa"/>
            <w:vAlign w:val="center"/>
          </w:tcPr>
          <w:p>
            <w:pPr>
              <w:pStyle w:val="30"/>
              <w:rPr>
                <w:rFonts w:eastAsia="宋体" w:cs="Times New Roman"/>
              </w:rPr>
            </w:pPr>
            <w:r>
              <w:rPr>
                <w:rFonts w:eastAsia="宋体" w:cs="Times New Roman"/>
              </w:rPr>
              <w:t>5.87t</w:t>
            </w:r>
          </w:p>
        </w:tc>
        <w:tc>
          <w:tcPr>
            <w:tcW w:w="1122" w:type="dxa"/>
            <w:vAlign w:val="center"/>
          </w:tcPr>
          <w:p>
            <w:pPr>
              <w:pStyle w:val="30"/>
              <w:rPr>
                <w:rFonts w:eastAsia="宋体" w:cs="Times New Roman"/>
              </w:rPr>
            </w:pPr>
            <w:r>
              <w:rPr>
                <w:rFonts w:eastAsia="宋体" w:cs="Times New Roman"/>
              </w:rPr>
              <w:t>88%</w:t>
            </w:r>
          </w:p>
        </w:tc>
      </w:tr>
    </w:tbl>
    <w:p>
      <w:pPr>
        <w:pStyle w:val="5"/>
        <w:rPr>
          <w:rFonts w:cs="Times New Roman"/>
        </w:rPr>
      </w:pPr>
      <w:bookmarkStart w:id="83" w:name="_Toc515273930"/>
      <w:bookmarkStart w:id="84" w:name="_Toc61959023"/>
      <w:r>
        <w:rPr>
          <w:rFonts w:cs="Times New Roman"/>
        </w:rPr>
        <w:t>9.2环境保护设施调试效果</w:t>
      </w:r>
      <w:bookmarkEnd w:id="83"/>
      <w:bookmarkEnd w:id="84"/>
    </w:p>
    <w:p>
      <w:pPr>
        <w:pStyle w:val="6"/>
        <w:rPr>
          <w:rFonts w:eastAsia="宋体" w:cs="Times New Roman"/>
          <w:highlight w:val="yellow"/>
        </w:rPr>
      </w:pPr>
      <w:r>
        <w:rPr>
          <w:rFonts w:eastAsia="宋体" w:cs="Times New Roman"/>
        </w:rPr>
        <w:t>9.2.1废水</w:t>
      </w:r>
    </w:p>
    <w:p>
      <w:pPr>
        <w:ind w:firstLine="480"/>
        <w:rPr>
          <w:rFonts w:eastAsia="宋体" w:cs="Times New Roman"/>
        </w:rPr>
      </w:pPr>
      <w:r>
        <w:rPr>
          <w:rFonts w:eastAsia="宋体" w:cs="Times New Roman"/>
        </w:rPr>
        <w:t>浙江爱迪信检测技术有限公司于2021年10月24日、10月25日对浙江允源毛纺股份有限公司废水总排口的废水进行了现场监测，废水水质监测结果见表9-2。</w:t>
      </w:r>
    </w:p>
    <w:p>
      <w:pPr>
        <w:ind w:firstLine="480"/>
        <w:rPr>
          <w:rFonts w:eastAsia="宋体" w:cs="Times New Roman"/>
        </w:rPr>
      </w:pPr>
      <w:r>
        <w:rPr>
          <w:rFonts w:eastAsia="宋体" w:cs="Times New Roman"/>
        </w:rPr>
        <w:t>根据监测结果，公司废水总排口的水质中pH、COD</w:t>
      </w:r>
      <w:r>
        <w:rPr>
          <w:rFonts w:eastAsia="宋体" w:cs="Times New Roman"/>
          <w:vertAlign w:val="subscript"/>
        </w:rPr>
        <w:t>Cr</w:t>
      </w:r>
      <w:r>
        <w:rPr>
          <w:rFonts w:eastAsia="宋体" w:cs="Times New Roman"/>
        </w:rPr>
        <w:t>、BOD</w:t>
      </w:r>
      <w:r>
        <w:rPr>
          <w:rFonts w:eastAsia="宋体" w:cs="Times New Roman"/>
          <w:vertAlign w:val="subscript"/>
        </w:rPr>
        <w:t>5</w:t>
      </w:r>
      <w:r>
        <w:rPr>
          <w:rFonts w:eastAsia="宋体" w:cs="Times New Roman"/>
        </w:rPr>
        <w:t>、SS的污染物浓度日均值均达到《污水综合排放标准》（GB8978-1996）表4中的三级标准，NH</w:t>
      </w:r>
      <w:r>
        <w:rPr>
          <w:rFonts w:eastAsia="宋体" w:cs="Times New Roman"/>
          <w:vertAlign w:val="subscript"/>
        </w:rPr>
        <w:t>3</w:t>
      </w:r>
      <w:r>
        <w:rPr>
          <w:rFonts w:eastAsia="宋体" w:cs="Times New Roman"/>
        </w:rPr>
        <w:t>-N、总磷浓度日均值达到DB33/887-2013《工业企业废水氮、磷污染物间接排放限值》</w:t>
      </w:r>
      <w:bookmarkStart w:id="85" w:name="_Hlk81570062"/>
      <w:r>
        <w:rPr>
          <w:rFonts w:eastAsia="宋体" w:cs="Times New Roman"/>
        </w:rPr>
        <w:t>表1中的工业企业水污染间接排放限值相关要求</w:t>
      </w:r>
      <w:bookmarkEnd w:id="85"/>
      <w:r>
        <w:rPr>
          <w:rFonts w:eastAsia="宋体" w:cs="Times New Roman"/>
        </w:rPr>
        <w:t>。pH、COD</w:t>
      </w:r>
      <w:r>
        <w:rPr>
          <w:rFonts w:eastAsia="宋体" w:cs="Times New Roman"/>
          <w:vertAlign w:val="subscript"/>
        </w:rPr>
        <w:t>Cr</w:t>
      </w:r>
      <w:r>
        <w:rPr>
          <w:rFonts w:eastAsia="宋体" w:cs="Times New Roman"/>
        </w:rPr>
        <w:t>、BOD</w:t>
      </w:r>
      <w:r>
        <w:rPr>
          <w:rFonts w:eastAsia="宋体" w:cs="Times New Roman"/>
          <w:vertAlign w:val="subscript"/>
        </w:rPr>
        <w:t>5</w:t>
      </w:r>
      <w:r>
        <w:rPr>
          <w:rFonts w:eastAsia="宋体" w:cs="Times New Roman"/>
        </w:rPr>
        <w:t>、NH</w:t>
      </w:r>
      <w:r>
        <w:rPr>
          <w:rFonts w:eastAsia="宋体" w:cs="Times New Roman"/>
          <w:vertAlign w:val="subscript"/>
        </w:rPr>
        <w:t>3</w:t>
      </w:r>
      <w:r>
        <w:rPr>
          <w:rFonts w:eastAsia="宋体" w:cs="Times New Roman"/>
        </w:rPr>
        <w:t>-N、SS、总磷的单项次达标率为100%。</w:t>
      </w:r>
    </w:p>
    <w:p>
      <w:pPr>
        <w:pStyle w:val="2"/>
        <w:ind w:left="480" w:firstLine="480"/>
        <w:rPr>
          <w:rFonts w:eastAsia="宋体" w:cs="Times New Roman"/>
        </w:rPr>
      </w:pPr>
    </w:p>
    <w:p>
      <w:pPr>
        <w:pStyle w:val="31"/>
        <w:spacing w:before="62" w:after="31"/>
        <w:rPr>
          <w:rFonts w:eastAsia="宋体"/>
        </w:rPr>
        <w:sectPr>
          <w:pgSz w:w="11906" w:h="16838"/>
          <w:pgMar w:top="1418" w:right="1701" w:bottom="1418" w:left="1701" w:header="851" w:footer="992" w:gutter="0"/>
          <w:pgNumType w:fmt="numberInDash"/>
          <w:cols w:space="425" w:num="1"/>
          <w:docGrid w:type="lines" w:linePitch="312" w:charSpace="0"/>
        </w:sectPr>
      </w:pPr>
    </w:p>
    <w:p>
      <w:pPr>
        <w:pStyle w:val="31"/>
        <w:spacing w:before="65" w:after="32"/>
        <w:rPr>
          <w:rFonts w:eastAsia="宋体"/>
        </w:rPr>
      </w:pPr>
      <w:r>
        <w:rPr>
          <w:rFonts w:eastAsia="宋体"/>
        </w:rPr>
        <w:t>表9-2  废水水质监测结果（单位：pH值为无量纲，其余为mg/L）</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294"/>
        <w:gridCol w:w="2446"/>
        <w:gridCol w:w="2648"/>
        <w:gridCol w:w="1110"/>
        <w:gridCol w:w="1113"/>
        <w:gridCol w:w="1113"/>
        <w:gridCol w:w="1110"/>
        <w:gridCol w:w="1113"/>
        <w:gridCol w:w="1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408"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采样日期</w:t>
            </w:r>
          </w:p>
        </w:tc>
        <w:tc>
          <w:tcPr>
            <w:tcW w:w="455"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监测位置</w:t>
            </w:r>
          </w:p>
        </w:tc>
        <w:tc>
          <w:tcPr>
            <w:tcW w:w="86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样品编号</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样品性状</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pH值</w:t>
            </w:r>
          </w:p>
        </w:tc>
        <w:tc>
          <w:tcPr>
            <w:tcW w:w="39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COD</w:t>
            </w:r>
            <w:r>
              <w:rPr>
                <w:rFonts w:eastAsia="宋体" w:cs="Times New Roman"/>
                <w:b/>
                <w:bCs/>
                <w:sz w:val="21"/>
                <w:vertAlign w:val="subscript"/>
              </w:rPr>
              <w:t>Cr</w:t>
            </w:r>
          </w:p>
        </w:tc>
        <w:tc>
          <w:tcPr>
            <w:tcW w:w="39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BOD</w:t>
            </w:r>
            <w:r>
              <w:rPr>
                <w:rFonts w:eastAsia="宋体" w:cs="Times New Roman"/>
                <w:b/>
                <w:bCs/>
                <w:sz w:val="21"/>
                <w:vertAlign w:val="subscript"/>
              </w:rPr>
              <w:t>5</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NH</w:t>
            </w:r>
            <w:r>
              <w:rPr>
                <w:rFonts w:eastAsia="宋体" w:cs="Times New Roman"/>
                <w:b/>
                <w:bCs/>
                <w:sz w:val="21"/>
                <w:vertAlign w:val="subscript"/>
              </w:rPr>
              <w:t>3</w:t>
            </w:r>
            <w:r>
              <w:rPr>
                <w:rFonts w:eastAsia="宋体" w:cs="Times New Roman"/>
                <w:b/>
                <w:bCs/>
                <w:sz w:val="21"/>
              </w:rPr>
              <w:t>-N</w:t>
            </w:r>
          </w:p>
        </w:tc>
        <w:tc>
          <w:tcPr>
            <w:tcW w:w="39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SS</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rPr>
            </w:pPr>
            <w:r>
              <w:rPr>
                <w:rFonts w:eastAsia="宋体" w:cs="Times New Roman"/>
                <w:b/>
                <w:bCs/>
                <w:sz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2021.10.24</w:t>
            </w:r>
          </w:p>
        </w:tc>
        <w:tc>
          <w:tcPr>
            <w:tcW w:w="45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废水总排口</w:t>
            </w:r>
          </w:p>
        </w:tc>
        <w:tc>
          <w:tcPr>
            <w:tcW w:w="86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FS211012002-1-1-1</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7.4</w:t>
            </w:r>
          </w:p>
        </w:tc>
        <w:tc>
          <w:tcPr>
            <w:tcW w:w="391"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443</w:t>
            </w:r>
          </w:p>
        </w:tc>
        <w:tc>
          <w:tcPr>
            <w:tcW w:w="391"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189</w:t>
            </w:r>
          </w:p>
        </w:tc>
        <w:tc>
          <w:tcPr>
            <w:tcW w:w="390"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21.7</w:t>
            </w:r>
          </w:p>
        </w:tc>
        <w:tc>
          <w:tcPr>
            <w:tcW w:w="391"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190</w:t>
            </w:r>
          </w:p>
        </w:tc>
        <w:tc>
          <w:tcPr>
            <w:tcW w:w="390" w:type="pc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86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FS211012002-1-1-2</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7.2</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424</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186</w:t>
            </w:r>
          </w:p>
        </w:tc>
        <w:tc>
          <w:tcPr>
            <w:tcW w:w="390"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22.4</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210</w:t>
            </w:r>
          </w:p>
        </w:tc>
        <w:tc>
          <w:tcPr>
            <w:tcW w:w="390"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86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FS211012002-1-1-3</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7.3</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449</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176</w:t>
            </w:r>
          </w:p>
        </w:tc>
        <w:tc>
          <w:tcPr>
            <w:tcW w:w="390"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21</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183</w:t>
            </w:r>
          </w:p>
        </w:tc>
        <w:tc>
          <w:tcPr>
            <w:tcW w:w="390"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86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FS211012002-1-1-4</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7.1</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426</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186</w:t>
            </w:r>
          </w:p>
        </w:tc>
        <w:tc>
          <w:tcPr>
            <w:tcW w:w="390"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22.9</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170</w:t>
            </w:r>
          </w:p>
        </w:tc>
        <w:tc>
          <w:tcPr>
            <w:tcW w:w="390"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86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rPr>
              <w:t>FS211012002-P1</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nil"/>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7.3</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443</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181</w:t>
            </w:r>
          </w:p>
        </w:tc>
        <w:tc>
          <w:tcPr>
            <w:tcW w:w="390"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22.7</w:t>
            </w:r>
          </w:p>
        </w:tc>
        <w:tc>
          <w:tcPr>
            <w:tcW w:w="391"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193</w:t>
            </w:r>
          </w:p>
        </w:tc>
        <w:tc>
          <w:tcPr>
            <w:tcW w:w="390" w:type="pct"/>
            <w:tcBorders>
              <w:top w:val="nil"/>
              <w:left w:val="nil"/>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1791" w:type="pct"/>
            <w:gridSpan w:val="2"/>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日均值</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7.1-7.4</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437</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183.6</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22.14</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189.2</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2021.10.25</w:t>
            </w:r>
          </w:p>
        </w:tc>
        <w:tc>
          <w:tcPr>
            <w:tcW w:w="45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废水总排口</w:t>
            </w:r>
          </w:p>
        </w:tc>
        <w:tc>
          <w:tcPr>
            <w:tcW w:w="86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FS211012002-1-2-1</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7.3</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456</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176</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23.1</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220</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86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FS211012002-1-2-2</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7.1</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439</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166</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23.5</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200</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86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FS211012002-1-2-3</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7.2</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443</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161</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22.4</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213</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86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FS211012002-1-2-4</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7.3</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441</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176</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23.9</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193</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86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rPr>
            </w:pPr>
            <w:r>
              <w:rPr>
                <w:rFonts w:eastAsia="宋体" w:cs="Times New Roman"/>
                <w:sz w:val="21"/>
              </w:rPr>
              <w:t>FS211012002-P2</w:t>
            </w:r>
          </w:p>
        </w:tc>
        <w:tc>
          <w:tcPr>
            <w:tcW w:w="93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微浊、微黑色、微臭</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7.2</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432</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161</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23.7</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190</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45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rPr>
            </w:pPr>
          </w:p>
        </w:tc>
        <w:tc>
          <w:tcPr>
            <w:tcW w:w="1791" w:type="pct"/>
            <w:gridSpan w:val="2"/>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日均值</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7.1-7.3</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442.2</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168</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23.32</w:t>
            </w:r>
          </w:p>
        </w:tc>
        <w:tc>
          <w:tcPr>
            <w:tcW w:w="391"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203.2</w:t>
            </w:r>
          </w:p>
        </w:tc>
        <w:tc>
          <w:tcPr>
            <w:tcW w:w="39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0"/>
              </w:rPr>
            </w:pPr>
            <w:r>
              <w:rPr>
                <w:rFonts w:eastAsia="宋体" w:cs="Times New Roman"/>
                <w:sz w:val="21"/>
                <w:szCs w:val="20"/>
              </w:rPr>
              <w:t>6.71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4" w:type="pct"/>
            <w:gridSpan w:val="4"/>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废水纳管标准值</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6～9</w:t>
            </w:r>
          </w:p>
        </w:tc>
        <w:tc>
          <w:tcPr>
            <w:tcW w:w="39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500</w:t>
            </w:r>
          </w:p>
        </w:tc>
        <w:tc>
          <w:tcPr>
            <w:tcW w:w="39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300</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35</w:t>
            </w:r>
          </w:p>
        </w:tc>
        <w:tc>
          <w:tcPr>
            <w:tcW w:w="39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400</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4" w:type="pct"/>
            <w:gridSpan w:val="4"/>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达标情况</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达标</w:t>
            </w:r>
          </w:p>
        </w:tc>
        <w:tc>
          <w:tcPr>
            <w:tcW w:w="39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达标</w:t>
            </w:r>
          </w:p>
        </w:tc>
        <w:tc>
          <w:tcPr>
            <w:tcW w:w="39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达标</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达标</w:t>
            </w:r>
          </w:p>
        </w:tc>
        <w:tc>
          <w:tcPr>
            <w:tcW w:w="39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达标</w:t>
            </w:r>
          </w:p>
        </w:tc>
        <w:tc>
          <w:tcPr>
            <w:tcW w:w="39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rPr>
            </w:pPr>
            <w:r>
              <w:rPr>
                <w:rFonts w:eastAsia="宋体" w:cs="Times New Roman"/>
                <w:sz w:val="21"/>
              </w:rPr>
              <w:t>达标</w:t>
            </w:r>
          </w:p>
        </w:tc>
      </w:tr>
    </w:tbl>
    <w:p>
      <w:pPr>
        <w:pStyle w:val="31"/>
        <w:spacing w:before="65" w:after="32"/>
        <w:rPr>
          <w:rFonts w:eastAsia="宋体"/>
        </w:rPr>
      </w:pPr>
    </w:p>
    <w:p>
      <w:pPr>
        <w:ind w:firstLine="480"/>
        <w:rPr>
          <w:rFonts w:eastAsia="宋体" w:cs="Times New Roman"/>
        </w:rPr>
        <w:sectPr>
          <w:pgSz w:w="16838" w:h="11906" w:orient="landscape"/>
          <w:pgMar w:top="1701" w:right="1418" w:bottom="1701" w:left="1418" w:header="851" w:footer="992" w:gutter="0"/>
          <w:pgNumType w:fmt="numberInDash"/>
          <w:cols w:space="425" w:num="1"/>
          <w:docGrid w:type="lines" w:linePitch="326" w:charSpace="0"/>
        </w:sectPr>
      </w:pPr>
    </w:p>
    <w:p>
      <w:pPr>
        <w:pStyle w:val="6"/>
        <w:rPr>
          <w:rFonts w:eastAsia="宋体" w:cs="Times New Roman"/>
        </w:rPr>
      </w:pPr>
      <w:r>
        <w:rPr>
          <w:rFonts w:eastAsia="宋体" w:cs="Times New Roman"/>
        </w:rPr>
        <w:t>9.2.2废气</w:t>
      </w:r>
    </w:p>
    <w:p>
      <w:pPr>
        <w:ind w:firstLine="480"/>
        <w:rPr>
          <w:rFonts w:eastAsia="宋体" w:cs="Times New Roman"/>
        </w:rPr>
      </w:pPr>
      <w:r>
        <w:rPr>
          <w:rFonts w:eastAsia="宋体" w:cs="Times New Roman"/>
        </w:rPr>
        <w:t>浙江爱迪信检测技术有限公司于2021年10月24日、10月25日对浙江允源毛纺股份有限公司</w:t>
      </w:r>
      <w:r>
        <w:rPr>
          <w:rFonts w:hint="eastAsia" w:eastAsia="宋体" w:cs="Times New Roman"/>
        </w:rPr>
        <w:t>有组织废气和</w:t>
      </w:r>
      <w:r>
        <w:rPr>
          <w:rFonts w:eastAsia="宋体" w:cs="Times New Roman"/>
        </w:rPr>
        <w:t>厂界无组织废气排放进行了现场监测，监测期间气象条件见表9-3，无组织废气排放监测结果见表9-4，有组织废气检测结果见表9-5。</w:t>
      </w:r>
    </w:p>
    <w:p>
      <w:pPr>
        <w:ind w:firstLine="480"/>
        <w:rPr>
          <w:rFonts w:eastAsia="宋体" w:cs="Times New Roman"/>
        </w:rPr>
      </w:pPr>
      <w:r>
        <w:rPr>
          <w:rFonts w:eastAsia="宋体" w:cs="Times New Roman"/>
        </w:rPr>
        <w:t>根据监测结果，本项目厂界四周总悬浮颗粒物无组织排放浓度低于《大气污染综合排放标准》（GB16297-1996）中表2规定的无组织排放监控浓度限值，项目颗粒物有组织废气排放浓度低于《大气污染综合排放标准》（GB16297-1996）中表2规定的有组织排放监控浓度限值。</w:t>
      </w:r>
    </w:p>
    <w:p>
      <w:pPr>
        <w:pStyle w:val="37"/>
        <w:spacing w:before="62" w:after="31"/>
        <w:rPr>
          <w:rFonts w:eastAsia="宋体"/>
        </w:rPr>
      </w:pPr>
      <w:r>
        <w:rPr>
          <w:rFonts w:eastAsia="宋体"/>
        </w:rPr>
        <w:t>表9-3  气象条件</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0"/>
        <w:gridCol w:w="1392"/>
        <w:gridCol w:w="1184"/>
        <w:gridCol w:w="1184"/>
        <w:gridCol w:w="1137"/>
        <w:gridCol w:w="1215"/>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检测日期</w:t>
            </w:r>
          </w:p>
        </w:tc>
        <w:tc>
          <w:tcPr>
            <w:tcW w:w="798"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测点序号</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风速（m/s）</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气温（℃）</w:t>
            </w:r>
          </w:p>
        </w:tc>
        <w:tc>
          <w:tcPr>
            <w:tcW w:w="652"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风向</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气压（kPa）</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湿度（%）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2021.10.24</w:t>
            </w:r>
          </w:p>
        </w:tc>
        <w:tc>
          <w:tcPr>
            <w:tcW w:w="79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01#</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18.6</w:t>
            </w:r>
          </w:p>
        </w:tc>
        <w:tc>
          <w:tcPr>
            <w:tcW w:w="65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北</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102.1</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19.3</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102.3</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19.7</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102.5</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02#</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18.6</w:t>
            </w:r>
          </w:p>
        </w:tc>
        <w:tc>
          <w:tcPr>
            <w:tcW w:w="65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北</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102.1</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19.3</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102.3</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19.7</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102.5</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18.6</w:t>
            </w:r>
          </w:p>
        </w:tc>
        <w:tc>
          <w:tcPr>
            <w:tcW w:w="65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北</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102.1</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19.3</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102.3</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19.7</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102.5</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04#</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18.6</w:t>
            </w:r>
          </w:p>
        </w:tc>
        <w:tc>
          <w:tcPr>
            <w:tcW w:w="65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北</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102.1</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19.3</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102.3</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19.7</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102.5</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2021.10.25</w:t>
            </w:r>
          </w:p>
        </w:tc>
        <w:tc>
          <w:tcPr>
            <w:tcW w:w="79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01#</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18.6</w:t>
            </w:r>
          </w:p>
        </w:tc>
        <w:tc>
          <w:tcPr>
            <w:tcW w:w="65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北</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102.2</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19.4</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102.3</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20.1</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102.5</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02#</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18.6</w:t>
            </w:r>
          </w:p>
        </w:tc>
        <w:tc>
          <w:tcPr>
            <w:tcW w:w="65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北</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102.2</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19.4</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102.3</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20.1</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102.5</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18.6</w:t>
            </w:r>
          </w:p>
        </w:tc>
        <w:tc>
          <w:tcPr>
            <w:tcW w:w="65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北</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102.2</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19.4</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102.3</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20.1</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102.5</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04#</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18.6</w:t>
            </w:r>
          </w:p>
        </w:tc>
        <w:tc>
          <w:tcPr>
            <w:tcW w:w="65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北</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102.2</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19.4</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102.3</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97"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7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67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20.1</w:t>
            </w:r>
          </w:p>
        </w:tc>
        <w:tc>
          <w:tcPr>
            <w:tcW w:w="652"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宋体" w:cs="Times New Roman"/>
                <w:sz w:val="21"/>
                <w:szCs w:val="21"/>
              </w:rPr>
            </w:pP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102.5</w:t>
            </w:r>
          </w:p>
        </w:tc>
        <w:tc>
          <w:tcPr>
            <w:tcW w:w="696"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44</w:t>
            </w:r>
          </w:p>
        </w:tc>
      </w:tr>
    </w:tbl>
    <w:p>
      <w:pPr>
        <w:ind w:firstLine="480"/>
        <w:rPr>
          <w:rFonts w:eastAsia="宋体" w:cs="Times New Roman"/>
        </w:rPr>
      </w:pPr>
      <w:r>
        <w:rPr>
          <w:rFonts w:eastAsia="宋体" w:cs="Times New Roman"/>
        </w:rPr>
        <w:br w:type="page"/>
      </w:r>
    </w:p>
    <w:p>
      <w:pPr>
        <w:pStyle w:val="37"/>
        <w:spacing w:before="156" w:beforeLines="50" w:after="31"/>
        <w:rPr>
          <w:rFonts w:eastAsia="宋体"/>
          <w:color w:val="auto"/>
        </w:rPr>
      </w:pPr>
      <w:r>
        <w:rPr>
          <w:rFonts w:eastAsia="宋体"/>
          <w:color w:val="auto"/>
        </w:rPr>
        <w:t>表9-4  无组织废气监测结果</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7"/>
        <w:gridCol w:w="1369"/>
        <w:gridCol w:w="1369"/>
        <w:gridCol w:w="1540"/>
        <w:gridCol w:w="1539"/>
        <w:gridCol w:w="1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监测点位</w:t>
            </w:r>
          </w:p>
        </w:tc>
        <w:tc>
          <w:tcPr>
            <w:tcW w:w="785"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监测项目</w:t>
            </w:r>
          </w:p>
        </w:tc>
        <w:tc>
          <w:tcPr>
            <w:tcW w:w="785"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监测时间</w:t>
            </w: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排放浓度（mg/m</w:t>
            </w:r>
            <w:r>
              <w:rPr>
                <w:rFonts w:eastAsia="宋体" w:cs="Times New Roman"/>
                <w:b/>
                <w:bCs/>
                <w:sz w:val="21"/>
                <w:szCs w:val="21"/>
                <w:vertAlign w:val="superscript"/>
              </w:rPr>
              <w:t>3</w:t>
            </w:r>
            <w:r>
              <w:rPr>
                <w:rFonts w:eastAsia="宋体" w:cs="Times New Roman"/>
                <w:b/>
                <w:bCs/>
                <w:sz w:val="21"/>
                <w:szCs w:val="21"/>
              </w:rPr>
              <w:t>）</w:t>
            </w:r>
          </w:p>
        </w:tc>
        <w:tc>
          <w:tcPr>
            <w:tcW w:w="882"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执行标准（mg/m</w:t>
            </w:r>
            <w:r>
              <w:rPr>
                <w:rFonts w:eastAsia="宋体" w:cs="Times New Roman"/>
                <w:b/>
                <w:bCs/>
                <w:sz w:val="21"/>
                <w:szCs w:val="21"/>
                <w:vertAlign w:val="superscript"/>
              </w:rPr>
              <w:t>3</w:t>
            </w:r>
            <w:r>
              <w:rPr>
                <w:rFonts w:eastAsia="宋体" w:cs="Times New Roman"/>
                <w:b/>
                <w:bCs/>
                <w:sz w:val="21"/>
                <w:szCs w:val="21"/>
              </w:rPr>
              <w:t>）</w:t>
            </w: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厂界上风向</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总悬浮</w:t>
            </w:r>
          </w:p>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2021.10.24</w:t>
            </w: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0.183</w:t>
            </w:r>
          </w:p>
        </w:tc>
        <w:tc>
          <w:tcPr>
            <w:tcW w:w="88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0.150</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0.200</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厂界下风向</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总悬浮</w:t>
            </w:r>
          </w:p>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2021.10.24</w:t>
            </w: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0.300</w:t>
            </w:r>
          </w:p>
        </w:tc>
        <w:tc>
          <w:tcPr>
            <w:tcW w:w="88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0.333</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0.350</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厂界下风向</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总悬浮</w:t>
            </w:r>
          </w:p>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2021.10.24</w:t>
            </w: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0.383</w:t>
            </w:r>
          </w:p>
        </w:tc>
        <w:tc>
          <w:tcPr>
            <w:tcW w:w="88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0.417</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0.367</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厂界下风向</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总悬浮</w:t>
            </w:r>
          </w:p>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2021.10.24</w:t>
            </w: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0.317</w:t>
            </w:r>
          </w:p>
        </w:tc>
        <w:tc>
          <w:tcPr>
            <w:tcW w:w="88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0.300</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0.317</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厂界上风向</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总悬浮</w:t>
            </w:r>
          </w:p>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2021.10.25</w:t>
            </w: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0.133</w:t>
            </w:r>
          </w:p>
        </w:tc>
        <w:tc>
          <w:tcPr>
            <w:tcW w:w="88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0.150</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0.167</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厂界下风向</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总悬浮</w:t>
            </w:r>
          </w:p>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2021.10.25</w:t>
            </w: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0.267</w:t>
            </w:r>
          </w:p>
        </w:tc>
        <w:tc>
          <w:tcPr>
            <w:tcW w:w="88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0.317</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0.300</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厂界下风向</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总悬浮</w:t>
            </w:r>
          </w:p>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2021.10.25</w:t>
            </w: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0.367</w:t>
            </w:r>
          </w:p>
        </w:tc>
        <w:tc>
          <w:tcPr>
            <w:tcW w:w="88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0.333</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0.367</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厂界下风向</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总悬浮</w:t>
            </w:r>
          </w:p>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785"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2021.10.25</w:t>
            </w: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0.267</w:t>
            </w:r>
          </w:p>
        </w:tc>
        <w:tc>
          <w:tcPr>
            <w:tcW w:w="882"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0.267</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883"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0.250</w:t>
            </w:r>
          </w:p>
        </w:tc>
        <w:tc>
          <w:tcPr>
            <w:tcW w:w="88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宋体" w:cs="Times New Roman"/>
                <w:sz w:val="21"/>
                <w:szCs w:val="21"/>
              </w:rPr>
            </w:pPr>
          </w:p>
        </w:tc>
        <w:tc>
          <w:tcPr>
            <w:tcW w:w="78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bl>
    <w:p>
      <w:pPr>
        <w:ind w:firstLine="422"/>
        <w:rPr>
          <w:rFonts w:eastAsia="宋体" w:cs="Times New Roman"/>
          <w:b/>
          <w:bCs/>
          <w:sz w:val="21"/>
          <w:szCs w:val="21"/>
        </w:rPr>
      </w:pPr>
      <w:r>
        <w:rPr>
          <w:rFonts w:eastAsia="宋体" w:cs="Times New Roman"/>
          <w:b/>
          <w:bCs/>
          <w:sz w:val="21"/>
          <w:szCs w:val="21"/>
        </w:rPr>
        <w:br w:type="page"/>
      </w:r>
    </w:p>
    <w:p>
      <w:pPr>
        <w:spacing w:line="240" w:lineRule="auto"/>
        <w:ind w:firstLine="0" w:firstLineChars="0"/>
        <w:jc w:val="center"/>
        <w:rPr>
          <w:rFonts w:eastAsia="宋体" w:cs="Times New Roman"/>
          <w:b/>
          <w:bCs/>
          <w:sz w:val="21"/>
          <w:szCs w:val="21"/>
        </w:rPr>
      </w:pPr>
      <w:r>
        <w:rPr>
          <w:rFonts w:eastAsia="宋体" w:cs="Times New Roman"/>
          <w:b/>
          <w:bCs/>
          <w:sz w:val="21"/>
          <w:szCs w:val="21"/>
        </w:rPr>
        <w:t>表9-</w:t>
      </w:r>
      <w:r>
        <w:rPr>
          <w:rFonts w:hint="eastAsia" w:eastAsia="宋体" w:cs="Times New Roman"/>
          <w:b/>
          <w:bCs/>
          <w:sz w:val="21"/>
          <w:szCs w:val="21"/>
        </w:rPr>
        <w:t>5</w:t>
      </w:r>
      <w:r>
        <w:rPr>
          <w:rFonts w:eastAsia="宋体" w:cs="Times New Roman"/>
          <w:b/>
          <w:bCs/>
          <w:sz w:val="21"/>
          <w:szCs w:val="21"/>
        </w:rPr>
        <w:t xml:space="preserve">  </w:t>
      </w:r>
      <w:r>
        <w:rPr>
          <w:rFonts w:hint="eastAsia" w:eastAsia="宋体" w:cs="Times New Roman"/>
          <w:b/>
          <w:bCs/>
          <w:sz w:val="21"/>
          <w:szCs w:val="21"/>
        </w:rPr>
        <w:t>有</w:t>
      </w:r>
      <w:r>
        <w:rPr>
          <w:rFonts w:eastAsia="宋体" w:cs="Times New Roman"/>
          <w:b/>
          <w:bCs/>
          <w:sz w:val="21"/>
          <w:szCs w:val="21"/>
        </w:rPr>
        <w:t>组织废气监测结果</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6"/>
        <w:gridCol w:w="1163"/>
        <w:gridCol w:w="1163"/>
        <w:gridCol w:w="1309"/>
        <w:gridCol w:w="1308"/>
        <w:gridCol w:w="1308"/>
        <w:gridCol w:w="11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9"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监测点位</w:t>
            </w:r>
          </w:p>
        </w:tc>
        <w:tc>
          <w:tcPr>
            <w:tcW w:w="667"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监测项目</w:t>
            </w:r>
          </w:p>
        </w:tc>
        <w:tc>
          <w:tcPr>
            <w:tcW w:w="667"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监测时间</w:t>
            </w: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排放浓度（mg/m</w:t>
            </w:r>
            <w:r>
              <w:rPr>
                <w:rFonts w:eastAsia="宋体" w:cs="Times New Roman"/>
                <w:b/>
                <w:bCs/>
                <w:sz w:val="21"/>
                <w:szCs w:val="21"/>
                <w:vertAlign w:val="superscript"/>
              </w:rPr>
              <w:t>3</w:t>
            </w:r>
            <w:r>
              <w:rPr>
                <w:rFonts w:eastAsia="宋体" w:cs="Times New Roman"/>
                <w:b/>
                <w:bCs/>
                <w:sz w:val="21"/>
                <w:szCs w:val="21"/>
              </w:rPr>
              <w:t>）</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hint="eastAsia" w:eastAsia="宋体" w:cs="Times New Roman"/>
                <w:b/>
                <w:bCs/>
                <w:sz w:val="21"/>
                <w:szCs w:val="21"/>
              </w:rPr>
              <w:t>排放速率</w:t>
            </w:r>
          </w:p>
          <w:p>
            <w:pPr>
              <w:snapToGrid w:val="0"/>
              <w:spacing w:line="240" w:lineRule="auto"/>
              <w:ind w:firstLine="0" w:firstLineChars="0"/>
              <w:jc w:val="center"/>
            </w:pPr>
            <w:r>
              <w:rPr>
                <w:rFonts w:hint="eastAsia" w:eastAsia="宋体" w:cs="Times New Roman"/>
                <w:b/>
                <w:bCs/>
                <w:sz w:val="21"/>
                <w:szCs w:val="21"/>
              </w:rPr>
              <w:t>（kg/h）</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执行标准（mg/m</w:t>
            </w:r>
            <w:r>
              <w:rPr>
                <w:rFonts w:eastAsia="宋体" w:cs="Times New Roman"/>
                <w:b/>
                <w:bCs/>
                <w:sz w:val="21"/>
                <w:szCs w:val="21"/>
                <w:vertAlign w:val="superscript"/>
              </w:rPr>
              <w:t>3</w:t>
            </w:r>
            <w:r>
              <w:rPr>
                <w:rFonts w:eastAsia="宋体" w:cs="Times New Roman"/>
                <w:b/>
                <w:bCs/>
                <w:sz w:val="21"/>
                <w:szCs w:val="21"/>
              </w:rPr>
              <w:t>）</w:t>
            </w: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废气治理设施进口</w:t>
            </w:r>
          </w:p>
        </w:tc>
        <w:tc>
          <w:tcPr>
            <w:tcW w:w="66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pPr>
            <w:r>
              <w:rPr>
                <w:rFonts w:eastAsia="宋体" w:cs="Times New Roman"/>
                <w:sz w:val="21"/>
                <w:szCs w:val="21"/>
              </w:rPr>
              <w:t>颗粒物</w:t>
            </w:r>
          </w:p>
        </w:tc>
        <w:tc>
          <w:tcPr>
            <w:tcW w:w="66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2021.10.24</w:t>
            </w: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＜20</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＜0.107</w:t>
            </w:r>
          </w:p>
        </w:tc>
        <w:tc>
          <w:tcPr>
            <w:tcW w:w="750"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w:t>
            </w: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＜20</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＜0.106</w:t>
            </w:r>
          </w:p>
        </w:tc>
        <w:tc>
          <w:tcPr>
            <w:tcW w:w="7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＜20</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＜0.108</w:t>
            </w:r>
          </w:p>
        </w:tc>
        <w:tc>
          <w:tcPr>
            <w:tcW w:w="7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废气治理设施出口</w:t>
            </w:r>
          </w:p>
        </w:tc>
        <w:tc>
          <w:tcPr>
            <w:tcW w:w="66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66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2021.10.24</w:t>
            </w: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4.9</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0.009</w:t>
            </w:r>
          </w:p>
        </w:tc>
        <w:tc>
          <w:tcPr>
            <w:tcW w:w="750"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w:t>
            </w:r>
            <w:r>
              <w:rPr>
                <w:rFonts w:hint="eastAsia" w:eastAsia="宋体" w:cs="Times New Roman"/>
                <w:sz w:val="21"/>
                <w:szCs w:val="21"/>
              </w:rPr>
              <w:t>20</w:t>
            </w: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5.0</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0.010</w:t>
            </w:r>
          </w:p>
        </w:tc>
        <w:tc>
          <w:tcPr>
            <w:tcW w:w="7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5.8</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0.011</w:t>
            </w:r>
          </w:p>
        </w:tc>
        <w:tc>
          <w:tcPr>
            <w:tcW w:w="7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废气治理设施进口</w:t>
            </w:r>
          </w:p>
        </w:tc>
        <w:tc>
          <w:tcPr>
            <w:tcW w:w="66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66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w:t>
            </w:r>
            <w:r>
              <w:rPr>
                <w:rFonts w:hint="eastAsia" w:eastAsia="宋体" w:cs="Times New Roman"/>
                <w:sz w:val="21"/>
                <w:szCs w:val="21"/>
              </w:rPr>
              <w:t>5</w:t>
            </w: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＜20</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＜0.112</w:t>
            </w:r>
          </w:p>
        </w:tc>
        <w:tc>
          <w:tcPr>
            <w:tcW w:w="750"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w:t>
            </w: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＜20</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＜0.111</w:t>
            </w:r>
          </w:p>
        </w:tc>
        <w:tc>
          <w:tcPr>
            <w:tcW w:w="7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＜20</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＜0.111</w:t>
            </w:r>
          </w:p>
        </w:tc>
        <w:tc>
          <w:tcPr>
            <w:tcW w:w="7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废气治理设施出口</w:t>
            </w:r>
          </w:p>
        </w:tc>
        <w:tc>
          <w:tcPr>
            <w:tcW w:w="66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颗粒物</w:t>
            </w:r>
          </w:p>
        </w:tc>
        <w:tc>
          <w:tcPr>
            <w:tcW w:w="667"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2021.10.2</w:t>
            </w:r>
            <w:r>
              <w:rPr>
                <w:rFonts w:hint="eastAsia" w:eastAsia="宋体" w:cs="Times New Roman"/>
                <w:sz w:val="21"/>
                <w:szCs w:val="21"/>
              </w:rPr>
              <w:t>5</w:t>
            </w: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5.5</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0.011</w:t>
            </w:r>
          </w:p>
        </w:tc>
        <w:tc>
          <w:tcPr>
            <w:tcW w:w="750"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1</w:t>
            </w:r>
            <w:r>
              <w:rPr>
                <w:rFonts w:hint="eastAsia" w:eastAsia="宋体" w:cs="Times New Roman"/>
                <w:sz w:val="21"/>
                <w:szCs w:val="21"/>
              </w:rPr>
              <w:t>20</w:t>
            </w: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4.9</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0.010</w:t>
            </w:r>
          </w:p>
        </w:tc>
        <w:tc>
          <w:tcPr>
            <w:tcW w:w="7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7"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751"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4.8</w:t>
            </w:r>
          </w:p>
        </w:tc>
        <w:tc>
          <w:tcPr>
            <w:tcW w:w="750"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hint="eastAsia" w:eastAsia="宋体" w:cs="Times New Roman"/>
                <w:sz w:val="21"/>
                <w:szCs w:val="21"/>
              </w:rPr>
              <w:t>0.009</w:t>
            </w:r>
          </w:p>
        </w:tc>
        <w:tc>
          <w:tcPr>
            <w:tcW w:w="750"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eastAsia="宋体" w:cs="Times New Roman"/>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napToGrid w:val="0"/>
              <w:spacing w:line="240" w:lineRule="auto"/>
              <w:ind w:firstLine="0" w:firstLineChars="0"/>
              <w:jc w:val="center"/>
              <w:rPr>
                <w:rFonts w:eastAsia="宋体" w:cs="Times New Roman"/>
                <w:sz w:val="21"/>
                <w:szCs w:val="21"/>
              </w:rPr>
            </w:pPr>
            <w:r>
              <w:rPr>
                <w:rFonts w:eastAsia="宋体" w:cs="Times New Roman"/>
                <w:sz w:val="21"/>
                <w:szCs w:val="21"/>
              </w:rPr>
              <w:t>达标</w:t>
            </w:r>
          </w:p>
        </w:tc>
      </w:tr>
    </w:tbl>
    <w:p>
      <w:pPr>
        <w:pStyle w:val="6"/>
        <w:spacing w:before="156" w:beforeLines="50"/>
        <w:rPr>
          <w:rFonts w:eastAsia="宋体" w:cs="Times New Roman"/>
        </w:rPr>
      </w:pPr>
      <w:r>
        <w:rPr>
          <w:rFonts w:eastAsia="宋体" w:cs="Times New Roman"/>
        </w:rPr>
        <w:t>9.2.3噪声</w:t>
      </w:r>
    </w:p>
    <w:p>
      <w:pPr>
        <w:ind w:firstLine="480"/>
        <w:rPr>
          <w:rFonts w:eastAsia="宋体" w:cs="Times New Roman"/>
        </w:rPr>
      </w:pPr>
      <w:r>
        <w:rPr>
          <w:rFonts w:eastAsia="宋体" w:cs="Times New Roman"/>
        </w:rPr>
        <w:t>浙江爱迪信检测技术有限公司于2021年10月24日、10月25日对浙江允源毛纺股份有限公司厂界四侧</w:t>
      </w:r>
      <w:r>
        <w:rPr>
          <w:rFonts w:hint="eastAsia" w:eastAsia="宋体" w:cs="Times New Roman"/>
        </w:rPr>
        <w:t>昼夜</w:t>
      </w:r>
      <w:r>
        <w:rPr>
          <w:rFonts w:eastAsia="宋体" w:cs="Times New Roman"/>
        </w:rPr>
        <w:t>间噪声以及公司</w:t>
      </w:r>
      <w:r>
        <w:rPr>
          <w:rFonts w:hint="eastAsia" w:eastAsia="宋体" w:cs="Times New Roman"/>
        </w:rPr>
        <w:t>东南</w:t>
      </w:r>
      <w:r>
        <w:rPr>
          <w:rFonts w:eastAsia="宋体" w:cs="Times New Roman"/>
        </w:rPr>
        <w:t>侧约</w:t>
      </w:r>
      <w:r>
        <w:rPr>
          <w:rFonts w:hint="eastAsia" w:eastAsia="宋体" w:cs="Times New Roman"/>
        </w:rPr>
        <w:t>190</w:t>
      </w:r>
      <w:r>
        <w:rPr>
          <w:rFonts w:eastAsia="宋体" w:cs="Times New Roman"/>
        </w:rPr>
        <w:t>米处</w:t>
      </w:r>
      <w:r>
        <w:rPr>
          <w:rFonts w:hint="eastAsia" w:eastAsia="宋体" w:cs="Times New Roman"/>
        </w:rPr>
        <w:t>凤桥村民居点</w:t>
      </w:r>
      <w:r>
        <w:rPr>
          <w:rFonts w:eastAsia="宋体" w:cs="Times New Roman"/>
        </w:rPr>
        <w:t>环境噪声进行了现场监测，噪声监测结果见表9-</w:t>
      </w:r>
      <w:r>
        <w:rPr>
          <w:rFonts w:hint="eastAsia" w:eastAsia="宋体" w:cs="Times New Roman"/>
        </w:rPr>
        <w:t>6</w:t>
      </w:r>
      <w:r>
        <w:rPr>
          <w:rFonts w:eastAsia="宋体" w:cs="Times New Roman"/>
        </w:rPr>
        <w:t>、表9-</w:t>
      </w:r>
      <w:r>
        <w:rPr>
          <w:rFonts w:hint="eastAsia" w:eastAsia="宋体" w:cs="Times New Roman"/>
        </w:rPr>
        <w:t>7</w:t>
      </w:r>
      <w:r>
        <w:rPr>
          <w:rFonts w:eastAsia="宋体" w:cs="Times New Roman"/>
        </w:rPr>
        <w:t>。</w:t>
      </w:r>
    </w:p>
    <w:p>
      <w:pPr>
        <w:pStyle w:val="37"/>
        <w:spacing w:before="62" w:after="31"/>
        <w:rPr>
          <w:rFonts w:eastAsia="宋体"/>
          <w:color w:val="auto"/>
        </w:rPr>
      </w:pPr>
      <w:r>
        <w:rPr>
          <w:rFonts w:eastAsia="宋体"/>
          <w:color w:val="auto"/>
        </w:rPr>
        <w:t>表9-</w:t>
      </w:r>
      <w:r>
        <w:rPr>
          <w:rFonts w:hint="eastAsia" w:eastAsia="宋体"/>
          <w:color w:val="auto"/>
        </w:rPr>
        <w:t>6</w:t>
      </w:r>
      <w:r>
        <w:rPr>
          <w:rFonts w:eastAsia="宋体"/>
          <w:color w:val="auto"/>
        </w:rPr>
        <w:t xml:space="preserve">  厂界噪声监测结果  单位：dB（A）</w:t>
      </w:r>
    </w:p>
    <w:tbl>
      <w:tblPr>
        <w:tblStyle w:val="21"/>
        <w:tblW w:w="49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138"/>
        <w:gridCol w:w="1150"/>
        <w:gridCol w:w="1277"/>
        <w:gridCol w:w="1343"/>
        <w:gridCol w:w="1246"/>
        <w:gridCol w:w="1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restart"/>
            <w:vAlign w:val="center"/>
          </w:tcPr>
          <w:p>
            <w:pPr>
              <w:pStyle w:val="30"/>
              <w:rPr>
                <w:rFonts w:eastAsia="宋体" w:cs="Times New Roman"/>
                <w:b/>
                <w:bCs/>
              </w:rPr>
            </w:pPr>
            <w:r>
              <w:rPr>
                <w:rFonts w:eastAsia="宋体" w:cs="Times New Roman"/>
                <w:b/>
                <w:bCs/>
              </w:rPr>
              <w:t>采样时间</w:t>
            </w:r>
          </w:p>
        </w:tc>
        <w:tc>
          <w:tcPr>
            <w:tcW w:w="654" w:type="pct"/>
            <w:vMerge w:val="restart"/>
            <w:vAlign w:val="center"/>
          </w:tcPr>
          <w:p>
            <w:pPr>
              <w:pStyle w:val="30"/>
              <w:rPr>
                <w:rFonts w:eastAsia="宋体" w:cs="Times New Roman"/>
                <w:b/>
                <w:bCs/>
              </w:rPr>
            </w:pPr>
            <w:r>
              <w:rPr>
                <w:rFonts w:eastAsia="宋体" w:cs="Times New Roman"/>
                <w:b/>
                <w:bCs/>
              </w:rPr>
              <w:t>测点位置</w:t>
            </w:r>
          </w:p>
        </w:tc>
        <w:tc>
          <w:tcPr>
            <w:tcW w:w="660" w:type="pct"/>
            <w:vMerge w:val="restart"/>
            <w:vAlign w:val="center"/>
          </w:tcPr>
          <w:p>
            <w:pPr>
              <w:pStyle w:val="30"/>
              <w:rPr>
                <w:rFonts w:eastAsia="宋体" w:cs="Times New Roman"/>
                <w:b/>
                <w:bCs/>
              </w:rPr>
            </w:pPr>
            <w:r>
              <w:rPr>
                <w:rFonts w:eastAsia="宋体" w:cs="Times New Roman"/>
                <w:b/>
                <w:bCs/>
              </w:rPr>
              <w:t>主要声源</w:t>
            </w:r>
          </w:p>
        </w:tc>
        <w:tc>
          <w:tcPr>
            <w:tcW w:w="1506" w:type="pct"/>
            <w:gridSpan w:val="2"/>
            <w:vAlign w:val="center"/>
          </w:tcPr>
          <w:p>
            <w:pPr>
              <w:pStyle w:val="30"/>
              <w:rPr>
                <w:rFonts w:eastAsia="宋体" w:cs="Times New Roman"/>
                <w:b/>
                <w:bCs/>
              </w:rPr>
            </w:pPr>
            <w:r>
              <w:rPr>
                <w:rFonts w:eastAsia="宋体" w:cs="Times New Roman"/>
                <w:b/>
                <w:bCs/>
              </w:rPr>
              <w:t>昼间</w:t>
            </w:r>
          </w:p>
        </w:tc>
        <w:tc>
          <w:tcPr>
            <w:tcW w:w="1510" w:type="pct"/>
            <w:gridSpan w:val="2"/>
            <w:vAlign w:val="center"/>
          </w:tcPr>
          <w:p>
            <w:pPr>
              <w:pStyle w:val="30"/>
              <w:rPr>
                <w:rFonts w:eastAsia="宋体" w:cs="Times New Roman"/>
                <w:b/>
                <w:bCs/>
              </w:rPr>
            </w:pPr>
            <w:r>
              <w:rPr>
                <w:rFonts w:eastAsia="宋体" w:cs="Times New Roman"/>
                <w:b/>
                <w:bCs/>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continue"/>
            <w:vAlign w:val="center"/>
          </w:tcPr>
          <w:p>
            <w:pPr>
              <w:pStyle w:val="30"/>
              <w:rPr>
                <w:rFonts w:eastAsia="宋体" w:cs="Times New Roman"/>
              </w:rPr>
            </w:pPr>
          </w:p>
        </w:tc>
        <w:tc>
          <w:tcPr>
            <w:tcW w:w="654" w:type="pct"/>
            <w:vMerge w:val="continue"/>
            <w:vAlign w:val="center"/>
          </w:tcPr>
          <w:p>
            <w:pPr>
              <w:pStyle w:val="30"/>
              <w:rPr>
                <w:rFonts w:eastAsia="宋体" w:cs="Times New Roman"/>
              </w:rPr>
            </w:pPr>
          </w:p>
        </w:tc>
        <w:tc>
          <w:tcPr>
            <w:tcW w:w="660" w:type="pct"/>
            <w:vMerge w:val="continue"/>
            <w:vAlign w:val="center"/>
          </w:tcPr>
          <w:p>
            <w:pPr>
              <w:pStyle w:val="30"/>
              <w:rPr>
                <w:rFonts w:eastAsia="宋体" w:cs="Times New Roman"/>
              </w:rPr>
            </w:pPr>
          </w:p>
        </w:tc>
        <w:tc>
          <w:tcPr>
            <w:tcW w:w="734" w:type="pct"/>
            <w:vAlign w:val="center"/>
          </w:tcPr>
          <w:p>
            <w:pPr>
              <w:pStyle w:val="30"/>
              <w:rPr>
                <w:rFonts w:eastAsia="宋体" w:cs="Times New Roman"/>
                <w:b/>
                <w:bCs/>
              </w:rPr>
            </w:pPr>
            <w:r>
              <w:rPr>
                <w:rFonts w:eastAsia="宋体" w:cs="Times New Roman"/>
                <w:b/>
                <w:bCs/>
              </w:rPr>
              <w:t>测量时间</w:t>
            </w:r>
          </w:p>
        </w:tc>
        <w:tc>
          <w:tcPr>
            <w:tcW w:w="772" w:type="pct"/>
            <w:vAlign w:val="center"/>
          </w:tcPr>
          <w:p>
            <w:pPr>
              <w:pStyle w:val="30"/>
              <w:rPr>
                <w:rFonts w:eastAsia="宋体" w:cs="Times New Roman"/>
                <w:b/>
                <w:bCs/>
              </w:rPr>
            </w:pPr>
            <w:r>
              <w:rPr>
                <w:rFonts w:eastAsia="宋体" w:cs="Times New Roman"/>
                <w:b/>
                <w:bCs/>
              </w:rPr>
              <w:t>测量值</w:t>
            </w:r>
          </w:p>
          <w:p>
            <w:pPr>
              <w:pStyle w:val="30"/>
              <w:rPr>
                <w:rFonts w:eastAsia="宋体" w:cs="Times New Roman"/>
                <w:b/>
                <w:bCs/>
              </w:rPr>
            </w:pPr>
            <w:r>
              <w:rPr>
                <w:rFonts w:eastAsia="宋体" w:cs="Times New Roman"/>
                <w:b/>
                <w:bCs/>
              </w:rPr>
              <w:t>/dB（A）</w:t>
            </w:r>
          </w:p>
        </w:tc>
        <w:tc>
          <w:tcPr>
            <w:tcW w:w="716" w:type="pct"/>
            <w:vAlign w:val="center"/>
          </w:tcPr>
          <w:p>
            <w:pPr>
              <w:pStyle w:val="30"/>
              <w:rPr>
                <w:rFonts w:eastAsia="宋体" w:cs="Times New Roman"/>
                <w:b/>
                <w:bCs/>
              </w:rPr>
            </w:pPr>
            <w:r>
              <w:rPr>
                <w:rFonts w:eastAsia="宋体" w:cs="Times New Roman"/>
                <w:b/>
                <w:bCs/>
              </w:rPr>
              <w:t>测量时间</w:t>
            </w:r>
          </w:p>
        </w:tc>
        <w:tc>
          <w:tcPr>
            <w:tcW w:w="794" w:type="pct"/>
            <w:vAlign w:val="center"/>
          </w:tcPr>
          <w:p>
            <w:pPr>
              <w:pStyle w:val="30"/>
              <w:rPr>
                <w:rFonts w:eastAsia="宋体" w:cs="Times New Roman"/>
                <w:b/>
                <w:bCs/>
              </w:rPr>
            </w:pPr>
            <w:r>
              <w:rPr>
                <w:rFonts w:eastAsia="宋体" w:cs="Times New Roman"/>
                <w:b/>
                <w:bCs/>
              </w:rPr>
              <w:t>测量值</w:t>
            </w:r>
          </w:p>
          <w:p>
            <w:pPr>
              <w:pStyle w:val="30"/>
              <w:rPr>
                <w:rFonts w:eastAsia="宋体" w:cs="Times New Roman"/>
                <w:b/>
                <w:bCs/>
              </w:rPr>
            </w:pPr>
            <w:r>
              <w:rPr>
                <w:rFonts w:eastAsia="宋体" w:cs="Times New Roman"/>
                <w:b/>
                <w:bCs/>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restart"/>
            <w:vAlign w:val="center"/>
          </w:tcPr>
          <w:p>
            <w:pPr>
              <w:pStyle w:val="30"/>
              <w:rPr>
                <w:rFonts w:eastAsia="宋体" w:cs="Times New Roman"/>
              </w:rPr>
            </w:pPr>
            <w:r>
              <w:rPr>
                <w:rFonts w:eastAsia="宋体" w:cs="Times New Roman"/>
              </w:rPr>
              <w:t>2021.10.24</w:t>
            </w:r>
          </w:p>
        </w:tc>
        <w:tc>
          <w:tcPr>
            <w:tcW w:w="654" w:type="pct"/>
            <w:vAlign w:val="center"/>
          </w:tcPr>
          <w:p>
            <w:pPr>
              <w:pStyle w:val="30"/>
              <w:rPr>
                <w:rFonts w:eastAsia="宋体" w:cs="Times New Roman"/>
              </w:rPr>
            </w:pPr>
            <w:r>
              <w:rPr>
                <w:rFonts w:eastAsia="宋体" w:cs="Times New Roman"/>
              </w:rPr>
              <w:t>01#厂界</w:t>
            </w:r>
          </w:p>
          <w:p>
            <w:pPr>
              <w:pStyle w:val="30"/>
              <w:rPr>
                <w:rFonts w:eastAsia="宋体" w:cs="Times New Roman"/>
              </w:rPr>
            </w:pPr>
            <w:r>
              <w:rPr>
                <w:rFonts w:eastAsia="宋体" w:cs="Times New Roman"/>
              </w:rPr>
              <w:t>东侧</w:t>
            </w:r>
          </w:p>
        </w:tc>
        <w:tc>
          <w:tcPr>
            <w:tcW w:w="660" w:type="pct"/>
            <w:vAlign w:val="center"/>
          </w:tcPr>
          <w:p>
            <w:pPr>
              <w:pStyle w:val="30"/>
              <w:rPr>
                <w:rFonts w:eastAsia="宋体" w:cs="Times New Roman"/>
              </w:rPr>
            </w:pPr>
            <w:r>
              <w:rPr>
                <w:rFonts w:eastAsia="宋体" w:cs="Times New Roman"/>
              </w:rPr>
              <w:t>生产活动</w:t>
            </w:r>
          </w:p>
        </w:tc>
        <w:tc>
          <w:tcPr>
            <w:tcW w:w="73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szCs w:val="21"/>
              </w:rPr>
              <w:t>8:35-8:36</w:t>
            </w:r>
          </w:p>
        </w:tc>
        <w:tc>
          <w:tcPr>
            <w:tcW w:w="772"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55.1</w:t>
            </w:r>
          </w:p>
        </w:tc>
        <w:tc>
          <w:tcPr>
            <w:tcW w:w="716"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22:05-22:06</w:t>
            </w:r>
          </w:p>
        </w:tc>
        <w:tc>
          <w:tcPr>
            <w:tcW w:w="79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51.4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continue"/>
            <w:vAlign w:val="center"/>
          </w:tcPr>
          <w:p>
            <w:pPr>
              <w:pStyle w:val="30"/>
              <w:rPr>
                <w:rFonts w:eastAsia="宋体" w:cs="Times New Roman"/>
              </w:rPr>
            </w:pPr>
          </w:p>
        </w:tc>
        <w:tc>
          <w:tcPr>
            <w:tcW w:w="654" w:type="pct"/>
            <w:vAlign w:val="center"/>
          </w:tcPr>
          <w:p>
            <w:pPr>
              <w:pStyle w:val="30"/>
              <w:rPr>
                <w:rFonts w:eastAsia="宋体" w:cs="Times New Roman"/>
              </w:rPr>
            </w:pPr>
            <w:r>
              <w:rPr>
                <w:rFonts w:eastAsia="宋体" w:cs="Times New Roman"/>
              </w:rPr>
              <w:t>02#厂界</w:t>
            </w:r>
          </w:p>
          <w:p>
            <w:pPr>
              <w:pStyle w:val="30"/>
              <w:rPr>
                <w:rFonts w:eastAsia="宋体" w:cs="Times New Roman"/>
              </w:rPr>
            </w:pPr>
            <w:r>
              <w:rPr>
                <w:rFonts w:eastAsia="宋体" w:cs="Times New Roman"/>
              </w:rPr>
              <w:t>南侧</w:t>
            </w:r>
          </w:p>
        </w:tc>
        <w:tc>
          <w:tcPr>
            <w:tcW w:w="660" w:type="pct"/>
            <w:vAlign w:val="center"/>
          </w:tcPr>
          <w:p>
            <w:pPr>
              <w:pStyle w:val="30"/>
              <w:rPr>
                <w:rFonts w:eastAsia="宋体" w:cs="Times New Roman"/>
              </w:rPr>
            </w:pPr>
            <w:r>
              <w:rPr>
                <w:rFonts w:eastAsia="宋体" w:cs="Times New Roman"/>
              </w:rPr>
              <w:t>生产活动</w:t>
            </w:r>
          </w:p>
        </w:tc>
        <w:tc>
          <w:tcPr>
            <w:tcW w:w="73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9:40-9:41</w:t>
            </w:r>
          </w:p>
        </w:tc>
        <w:tc>
          <w:tcPr>
            <w:tcW w:w="772"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57.4</w:t>
            </w:r>
          </w:p>
        </w:tc>
        <w:tc>
          <w:tcPr>
            <w:tcW w:w="716"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22:31-22:32</w:t>
            </w:r>
          </w:p>
        </w:tc>
        <w:tc>
          <w:tcPr>
            <w:tcW w:w="79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continue"/>
            <w:vAlign w:val="center"/>
          </w:tcPr>
          <w:p>
            <w:pPr>
              <w:pStyle w:val="30"/>
              <w:rPr>
                <w:rFonts w:eastAsia="宋体" w:cs="Times New Roman"/>
              </w:rPr>
            </w:pPr>
          </w:p>
        </w:tc>
        <w:tc>
          <w:tcPr>
            <w:tcW w:w="654" w:type="pct"/>
            <w:vAlign w:val="center"/>
          </w:tcPr>
          <w:p>
            <w:pPr>
              <w:pStyle w:val="30"/>
              <w:rPr>
                <w:rFonts w:eastAsia="宋体" w:cs="Times New Roman"/>
              </w:rPr>
            </w:pPr>
            <w:r>
              <w:rPr>
                <w:rFonts w:eastAsia="宋体" w:cs="Times New Roman"/>
              </w:rPr>
              <w:t>03#厂界</w:t>
            </w:r>
          </w:p>
          <w:p>
            <w:pPr>
              <w:pStyle w:val="30"/>
              <w:rPr>
                <w:rFonts w:eastAsia="宋体" w:cs="Times New Roman"/>
              </w:rPr>
            </w:pPr>
            <w:r>
              <w:rPr>
                <w:rFonts w:eastAsia="宋体" w:cs="Times New Roman"/>
              </w:rPr>
              <w:t>西侧</w:t>
            </w:r>
          </w:p>
        </w:tc>
        <w:tc>
          <w:tcPr>
            <w:tcW w:w="660" w:type="pct"/>
            <w:vAlign w:val="center"/>
          </w:tcPr>
          <w:p>
            <w:pPr>
              <w:pStyle w:val="30"/>
              <w:rPr>
                <w:rFonts w:eastAsia="宋体" w:cs="Times New Roman"/>
              </w:rPr>
            </w:pPr>
            <w:r>
              <w:rPr>
                <w:rFonts w:eastAsia="宋体" w:cs="Times New Roman"/>
              </w:rPr>
              <w:t>生产活动</w:t>
            </w:r>
          </w:p>
        </w:tc>
        <w:tc>
          <w:tcPr>
            <w:tcW w:w="73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10:50-10:51</w:t>
            </w:r>
          </w:p>
        </w:tc>
        <w:tc>
          <w:tcPr>
            <w:tcW w:w="772"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56.5</w:t>
            </w:r>
          </w:p>
        </w:tc>
        <w:tc>
          <w:tcPr>
            <w:tcW w:w="716"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22:54-22:55</w:t>
            </w:r>
          </w:p>
        </w:tc>
        <w:tc>
          <w:tcPr>
            <w:tcW w:w="79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52.7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continue"/>
            <w:vAlign w:val="center"/>
          </w:tcPr>
          <w:p>
            <w:pPr>
              <w:pStyle w:val="30"/>
              <w:rPr>
                <w:rFonts w:eastAsia="宋体" w:cs="Times New Roman"/>
              </w:rPr>
            </w:pPr>
          </w:p>
        </w:tc>
        <w:tc>
          <w:tcPr>
            <w:tcW w:w="654" w:type="pct"/>
            <w:vAlign w:val="center"/>
          </w:tcPr>
          <w:p>
            <w:pPr>
              <w:pStyle w:val="30"/>
              <w:rPr>
                <w:rFonts w:eastAsia="宋体" w:cs="Times New Roman"/>
              </w:rPr>
            </w:pPr>
            <w:r>
              <w:rPr>
                <w:rFonts w:eastAsia="宋体" w:cs="Times New Roman"/>
              </w:rPr>
              <w:t>04#厂界</w:t>
            </w:r>
          </w:p>
          <w:p>
            <w:pPr>
              <w:pStyle w:val="30"/>
              <w:rPr>
                <w:rFonts w:eastAsia="宋体" w:cs="Times New Roman"/>
              </w:rPr>
            </w:pPr>
            <w:r>
              <w:rPr>
                <w:rFonts w:eastAsia="宋体" w:cs="Times New Roman"/>
              </w:rPr>
              <w:t>北侧</w:t>
            </w:r>
          </w:p>
        </w:tc>
        <w:tc>
          <w:tcPr>
            <w:tcW w:w="660" w:type="pct"/>
            <w:vAlign w:val="center"/>
          </w:tcPr>
          <w:p>
            <w:pPr>
              <w:pStyle w:val="30"/>
              <w:rPr>
                <w:rFonts w:eastAsia="宋体" w:cs="Times New Roman"/>
              </w:rPr>
            </w:pPr>
            <w:r>
              <w:rPr>
                <w:rFonts w:eastAsia="宋体" w:cs="Times New Roman"/>
              </w:rPr>
              <w:t>生产活动</w:t>
            </w:r>
          </w:p>
        </w:tc>
        <w:tc>
          <w:tcPr>
            <w:tcW w:w="73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11:15-11:16</w:t>
            </w:r>
          </w:p>
        </w:tc>
        <w:tc>
          <w:tcPr>
            <w:tcW w:w="772"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60.6</w:t>
            </w:r>
          </w:p>
        </w:tc>
        <w:tc>
          <w:tcPr>
            <w:tcW w:w="716"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23:18-23:19</w:t>
            </w:r>
          </w:p>
        </w:tc>
        <w:tc>
          <w:tcPr>
            <w:tcW w:w="79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50.4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restart"/>
            <w:vAlign w:val="center"/>
          </w:tcPr>
          <w:p>
            <w:pPr>
              <w:pStyle w:val="30"/>
              <w:rPr>
                <w:rFonts w:eastAsia="宋体" w:cs="Times New Roman"/>
              </w:rPr>
            </w:pPr>
            <w:r>
              <w:rPr>
                <w:rFonts w:eastAsia="宋体" w:cs="Times New Roman"/>
              </w:rPr>
              <w:t>2021.10.25</w:t>
            </w:r>
          </w:p>
        </w:tc>
        <w:tc>
          <w:tcPr>
            <w:tcW w:w="654" w:type="pct"/>
            <w:vAlign w:val="center"/>
          </w:tcPr>
          <w:p>
            <w:pPr>
              <w:pStyle w:val="30"/>
              <w:rPr>
                <w:rFonts w:eastAsia="宋体" w:cs="Times New Roman"/>
              </w:rPr>
            </w:pPr>
            <w:r>
              <w:rPr>
                <w:rFonts w:eastAsia="宋体" w:cs="Times New Roman"/>
              </w:rPr>
              <w:t>01#厂界</w:t>
            </w:r>
          </w:p>
          <w:p>
            <w:pPr>
              <w:pStyle w:val="30"/>
              <w:rPr>
                <w:rFonts w:eastAsia="宋体" w:cs="Times New Roman"/>
              </w:rPr>
            </w:pPr>
            <w:r>
              <w:rPr>
                <w:rFonts w:eastAsia="宋体" w:cs="Times New Roman"/>
              </w:rPr>
              <w:t>东侧</w:t>
            </w:r>
          </w:p>
        </w:tc>
        <w:tc>
          <w:tcPr>
            <w:tcW w:w="660" w:type="pct"/>
            <w:vAlign w:val="center"/>
          </w:tcPr>
          <w:p>
            <w:pPr>
              <w:pStyle w:val="30"/>
              <w:rPr>
                <w:rFonts w:eastAsia="宋体" w:cs="Times New Roman"/>
              </w:rPr>
            </w:pPr>
            <w:r>
              <w:rPr>
                <w:rFonts w:eastAsia="宋体" w:cs="Times New Roman"/>
              </w:rPr>
              <w:t>生产活动</w:t>
            </w:r>
          </w:p>
        </w:tc>
        <w:tc>
          <w:tcPr>
            <w:tcW w:w="73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8:40-8:41</w:t>
            </w:r>
          </w:p>
        </w:tc>
        <w:tc>
          <w:tcPr>
            <w:tcW w:w="772"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53.0</w:t>
            </w:r>
          </w:p>
        </w:tc>
        <w:tc>
          <w:tcPr>
            <w:tcW w:w="716"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22:10-22:11</w:t>
            </w:r>
          </w:p>
        </w:tc>
        <w:tc>
          <w:tcPr>
            <w:tcW w:w="79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continue"/>
            <w:vAlign w:val="center"/>
          </w:tcPr>
          <w:p>
            <w:pPr>
              <w:pStyle w:val="30"/>
              <w:rPr>
                <w:rFonts w:eastAsia="宋体" w:cs="Times New Roman"/>
              </w:rPr>
            </w:pPr>
          </w:p>
        </w:tc>
        <w:tc>
          <w:tcPr>
            <w:tcW w:w="654" w:type="pct"/>
            <w:vAlign w:val="center"/>
          </w:tcPr>
          <w:p>
            <w:pPr>
              <w:pStyle w:val="30"/>
              <w:rPr>
                <w:rFonts w:eastAsia="宋体" w:cs="Times New Roman"/>
              </w:rPr>
            </w:pPr>
            <w:r>
              <w:rPr>
                <w:rFonts w:eastAsia="宋体" w:cs="Times New Roman"/>
              </w:rPr>
              <w:t>02#厂界</w:t>
            </w:r>
          </w:p>
          <w:p>
            <w:pPr>
              <w:pStyle w:val="30"/>
              <w:rPr>
                <w:rFonts w:eastAsia="宋体" w:cs="Times New Roman"/>
              </w:rPr>
            </w:pPr>
            <w:r>
              <w:rPr>
                <w:rFonts w:eastAsia="宋体" w:cs="Times New Roman"/>
              </w:rPr>
              <w:t>南侧</w:t>
            </w:r>
          </w:p>
        </w:tc>
        <w:tc>
          <w:tcPr>
            <w:tcW w:w="660" w:type="pct"/>
            <w:vAlign w:val="center"/>
          </w:tcPr>
          <w:p>
            <w:pPr>
              <w:pStyle w:val="30"/>
              <w:rPr>
                <w:rFonts w:eastAsia="宋体" w:cs="Times New Roman"/>
              </w:rPr>
            </w:pPr>
            <w:r>
              <w:rPr>
                <w:rFonts w:eastAsia="宋体" w:cs="Times New Roman"/>
              </w:rPr>
              <w:t>生产活动</w:t>
            </w:r>
          </w:p>
        </w:tc>
        <w:tc>
          <w:tcPr>
            <w:tcW w:w="73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9:46-9:47</w:t>
            </w:r>
          </w:p>
        </w:tc>
        <w:tc>
          <w:tcPr>
            <w:tcW w:w="772"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55.7</w:t>
            </w:r>
          </w:p>
        </w:tc>
        <w:tc>
          <w:tcPr>
            <w:tcW w:w="716"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22:32-22:33</w:t>
            </w:r>
          </w:p>
        </w:tc>
        <w:tc>
          <w:tcPr>
            <w:tcW w:w="79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continue"/>
            <w:vAlign w:val="center"/>
          </w:tcPr>
          <w:p>
            <w:pPr>
              <w:pStyle w:val="30"/>
              <w:rPr>
                <w:rFonts w:eastAsia="宋体" w:cs="Times New Roman"/>
              </w:rPr>
            </w:pPr>
          </w:p>
        </w:tc>
        <w:tc>
          <w:tcPr>
            <w:tcW w:w="654" w:type="pct"/>
            <w:vAlign w:val="center"/>
          </w:tcPr>
          <w:p>
            <w:pPr>
              <w:pStyle w:val="30"/>
              <w:rPr>
                <w:rFonts w:eastAsia="宋体" w:cs="Times New Roman"/>
              </w:rPr>
            </w:pPr>
            <w:r>
              <w:rPr>
                <w:rFonts w:eastAsia="宋体" w:cs="Times New Roman"/>
              </w:rPr>
              <w:t>03#厂界</w:t>
            </w:r>
          </w:p>
          <w:p>
            <w:pPr>
              <w:pStyle w:val="30"/>
              <w:rPr>
                <w:rFonts w:eastAsia="宋体" w:cs="Times New Roman"/>
              </w:rPr>
            </w:pPr>
            <w:r>
              <w:rPr>
                <w:rFonts w:eastAsia="宋体" w:cs="Times New Roman"/>
              </w:rPr>
              <w:t>西侧</w:t>
            </w:r>
          </w:p>
        </w:tc>
        <w:tc>
          <w:tcPr>
            <w:tcW w:w="660" w:type="pct"/>
            <w:vAlign w:val="center"/>
          </w:tcPr>
          <w:p>
            <w:pPr>
              <w:pStyle w:val="30"/>
              <w:rPr>
                <w:rFonts w:eastAsia="宋体" w:cs="Times New Roman"/>
              </w:rPr>
            </w:pPr>
            <w:r>
              <w:rPr>
                <w:rFonts w:eastAsia="宋体" w:cs="Times New Roman"/>
              </w:rPr>
              <w:t>生产活动</w:t>
            </w:r>
          </w:p>
        </w:tc>
        <w:tc>
          <w:tcPr>
            <w:tcW w:w="73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10:57-10:58</w:t>
            </w:r>
          </w:p>
        </w:tc>
        <w:tc>
          <w:tcPr>
            <w:tcW w:w="772"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54.7</w:t>
            </w:r>
          </w:p>
        </w:tc>
        <w:tc>
          <w:tcPr>
            <w:tcW w:w="716"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22:55-22:56</w:t>
            </w:r>
          </w:p>
        </w:tc>
        <w:tc>
          <w:tcPr>
            <w:tcW w:w="79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8" w:type="pct"/>
            <w:vMerge w:val="continue"/>
            <w:vAlign w:val="center"/>
          </w:tcPr>
          <w:p>
            <w:pPr>
              <w:pStyle w:val="30"/>
              <w:rPr>
                <w:rFonts w:eastAsia="宋体" w:cs="Times New Roman"/>
              </w:rPr>
            </w:pPr>
          </w:p>
        </w:tc>
        <w:tc>
          <w:tcPr>
            <w:tcW w:w="654" w:type="pct"/>
            <w:vAlign w:val="center"/>
          </w:tcPr>
          <w:p>
            <w:pPr>
              <w:pStyle w:val="30"/>
              <w:rPr>
                <w:rFonts w:eastAsia="宋体" w:cs="Times New Roman"/>
              </w:rPr>
            </w:pPr>
            <w:r>
              <w:rPr>
                <w:rFonts w:eastAsia="宋体" w:cs="Times New Roman"/>
              </w:rPr>
              <w:t>04#厂界</w:t>
            </w:r>
          </w:p>
          <w:p>
            <w:pPr>
              <w:pStyle w:val="30"/>
              <w:rPr>
                <w:rFonts w:eastAsia="宋体" w:cs="Times New Roman"/>
              </w:rPr>
            </w:pPr>
            <w:r>
              <w:rPr>
                <w:rFonts w:eastAsia="宋体" w:cs="Times New Roman"/>
              </w:rPr>
              <w:t>北侧</w:t>
            </w:r>
          </w:p>
        </w:tc>
        <w:tc>
          <w:tcPr>
            <w:tcW w:w="660" w:type="pct"/>
            <w:vAlign w:val="center"/>
          </w:tcPr>
          <w:p>
            <w:pPr>
              <w:pStyle w:val="30"/>
              <w:rPr>
                <w:rFonts w:eastAsia="宋体" w:cs="Times New Roman"/>
              </w:rPr>
            </w:pPr>
            <w:r>
              <w:rPr>
                <w:rFonts w:eastAsia="宋体" w:cs="Times New Roman"/>
              </w:rPr>
              <w:t>生产活动</w:t>
            </w:r>
          </w:p>
        </w:tc>
        <w:tc>
          <w:tcPr>
            <w:tcW w:w="73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11:20-11:21</w:t>
            </w:r>
          </w:p>
        </w:tc>
        <w:tc>
          <w:tcPr>
            <w:tcW w:w="772"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59.9</w:t>
            </w:r>
          </w:p>
        </w:tc>
        <w:tc>
          <w:tcPr>
            <w:tcW w:w="716"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23:18-23:19</w:t>
            </w:r>
          </w:p>
        </w:tc>
        <w:tc>
          <w:tcPr>
            <w:tcW w:w="794"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50.1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3" w:type="pct"/>
            <w:gridSpan w:val="3"/>
            <w:vAlign w:val="center"/>
          </w:tcPr>
          <w:p>
            <w:pPr>
              <w:pStyle w:val="30"/>
              <w:rPr>
                <w:rFonts w:eastAsia="宋体" w:cs="Times New Roman"/>
              </w:rPr>
            </w:pPr>
            <w:r>
              <w:rPr>
                <w:rFonts w:eastAsia="宋体" w:cs="Times New Roman"/>
              </w:rPr>
              <w:t>《工业企业厂界环境噪声排放标准》3类区标准值</w:t>
            </w:r>
          </w:p>
        </w:tc>
        <w:tc>
          <w:tcPr>
            <w:tcW w:w="1506" w:type="pct"/>
            <w:gridSpan w:val="2"/>
            <w:vAlign w:val="center"/>
          </w:tcPr>
          <w:p>
            <w:pPr>
              <w:pStyle w:val="30"/>
              <w:rPr>
                <w:rFonts w:eastAsia="宋体" w:cs="Times New Roman"/>
              </w:rPr>
            </w:pPr>
            <w:r>
              <w:rPr>
                <w:rFonts w:eastAsia="宋体" w:cs="Times New Roman"/>
              </w:rPr>
              <w:t>65</w:t>
            </w:r>
          </w:p>
        </w:tc>
        <w:tc>
          <w:tcPr>
            <w:tcW w:w="1510" w:type="pct"/>
            <w:gridSpan w:val="2"/>
            <w:vAlign w:val="center"/>
          </w:tcPr>
          <w:p>
            <w:pPr>
              <w:pStyle w:val="30"/>
              <w:rPr>
                <w:rFonts w:eastAsia="宋体" w:cs="Times New Roman"/>
              </w:rPr>
            </w:pPr>
            <w:r>
              <w:rPr>
                <w:rFonts w:eastAsia="宋体" w:cs="Times New Roma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3" w:type="pct"/>
            <w:gridSpan w:val="3"/>
            <w:vAlign w:val="center"/>
          </w:tcPr>
          <w:p>
            <w:pPr>
              <w:pStyle w:val="30"/>
              <w:rPr>
                <w:rFonts w:eastAsia="宋体" w:cs="Times New Roman"/>
              </w:rPr>
            </w:pPr>
            <w:r>
              <w:rPr>
                <w:rFonts w:eastAsia="宋体" w:cs="Times New Roman"/>
              </w:rPr>
              <w:t>达标情况</w:t>
            </w:r>
          </w:p>
        </w:tc>
        <w:tc>
          <w:tcPr>
            <w:tcW w:w="1506" w:type="pct"/>
            <w:gridSpan w:val="2"/>
            <w:vAlign w:val="center"/>
          </w:tcPr>
          <w:p>
            <w:pPr>
              <w:pStyle w:val="30"/>
              <w:rPr>
                <w:rFonts w:eastAsia="宋体" w:cs="Times New Roman"/>
              </w:rPr>
            </w:pPr>
            <w:r>
              <w:rPr>
                <w:rFonts w:eastAsia="宋体" w:cs="Times New Roman"/>
              </w:rPr>
              <w:t>是</w:t>
            </w:r>
          </w:p>
        </w:tc>
        <w:tc>
          <w:tcPr>
            <w:tcW w:w="1510" w:type="pct"/>
            <w:gridSpan w:val="2"/>
            <w:vAlign w:val="center"/>
          </w:tcPr>
          <w:p>
            <w:pPr>
              <w:pStyle w:val="30"/>
              <w:rPr>
                <w:rFonts w:eastAsia="宋体" w:cs="Times New Roman"/>
              </w:rPr>
            </w:pPr>
            <w:r>
              <w:rPr>
                <w:rFonts w:eastAsia="宋体" w:cs="Times New Roman"/>
              </w:rPr>
              <w:t>是</w:t>
            </w:r>
          </w:p>
        </w:tc>
      </w:tr>
    </w:tbl>
    <w:p>
      <w:pPr>
        <w:pStyle w:val="37"/>
        <w:spacing w:before="156" w:beforeLines="50" w:after="31"/>
        <w:rPr>
          <w:rFonts w:eastAsia="宋体"/>
          <w:color w:val="auto"/>
        </w:rPr>
      </w:pPr>
      <w:r>
        <w:rPr>
          <w:rFonts w:eastAsia="宋体"/>
          <w:color w:val="auto"/>
        </w:rPr>
        <w:t>表9-</w:t>
      </w:r>
      <w:r>
        <w:rPr>
          <w:rFonts w:hint="eastAsia" w:eastAsia="宋体"/>
          <w:color w:val="auto"/>
        </w:rPr>
        <w:t>7</w:t>
      </w:r>
      <w:r>
        <w:rPr>
          <w:rFonts w:eastAsia="宋体"/>
          <w:color w:val="auto"/>
        </w:rPr>
        <w:t xml:space="preserve"> 环境噪声监测结果</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1123"/>
        <w:gridCol w:w="1144"/>
        <w:gridCol w:w="1302"/>
        <w:gridCol w:w="1381"/>
        <w:gridCol w:w="1274"/>
        <w:gridCol w:w="1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pct"/>
            <w:vMerge w:val="restart"/>
            <w:vAlign w:val="center"/>
          </w:tcPr>
          <w:p>
            <w:pPr>
              <w:pStyle w:val="30"/>
              <w:rPr>
                <w:rFonts w:eastAsia="宋体" w:cs="Times New Roman"/>
                <w:b/>
                <w:bCs/>
              </w:rPr>
            </w:pPr>
            <w:r>
              <w:rPr>
                <w:rFonts w:eastAsia="宋体" w:cs="Times New Roman"/>
                <w:b/>
                <w:bCs/>
              </w:rPr>
              <w:t>采样时间</w:t>
            </w:r>
          </w:p>
        </w:tc>
        <w:tc>
          <w:tcPr>
            <w:tcW w:w="644" w:type="pct"/>
            <w:vMerge w:val="restart"/>
            <w:vAlign w:val="center"/>
          </w:tcPr>
          <w:p>
            <w:pPr>
              <w:pStyle w:val="30"/>
              <w:rPr>
                <w:rFonts w:eastAsia="宋体" w:cs="Times New Roman"/>
                <w:b/>
                <w:bCs/>
              </w:rPr>
            </w:pPr>
            <w:r>
              <w:rPr>
                <w:rFonts w:eastAsia="宋体" w:cs="Times New Roman"/>
                <w:b/>
                <w:bCs/>
              </w:rPr>
              <w:t>测点位置</w:t>
            </w:r>
          </w:p>
        </w:tc>
        <w:tc>
          <w:tcPr>
            <w:tcW w:w="655" w:type="pct"/>
            <w:vMerge w:val="restart"/>
            <w:vAlign w:val="center"/>
          </w:tcPr>
          <w:p>
            <w:pPr>
              <w:pStyle w:val="30"/>
              <w:rPr>
                <w:rFonts w:eastAsia="宋体" w:cs="Times New Roman"/>
                <w:b/>
                <w:bCs/>
              </w:rPr>
            </w:pPr>
            <w:r>
              <w:rPr>
                <w:rFonts w:eastAsia="宋体" w:cs="Times New Roman"/>
                <w:b/>
                <w:bCs/>
              </w:rPr>
              <w:t>主要声源</w:t>
            </w:r>
          </w:p>
        </w:tc>
        <w:tc>
          <w:tcPr>
            <w:tcW w:w="1539" w:type="pct"/>
            <w:gridSpan w:val="2"/>
            <w:vAlign w:val="center"/>
          </w:tcPr>
          <w:p>
            <w:pPr>
              <w:pStyle w:val="30"/>
              <w:rPr>
                <w:rFonts w:eastAsia="宋体" w:cs="Times New Roman"/>
                <w:b/>
                <w:bCs/>
              </w:rPr>
            </w:pPr>
            <w:r>
              <w:rPr>
                <w:rFonts w:eastAsia="宋体" w:cs="Times New Roman"/>
                <w:b/>
                <w:bCs/>
              </w:rPr>
              <w:t>昼间</w:t>
            </w:r>
          </w:p>
        </w:tc>
        <w:tc>
          <w:tcPr>
            <w:tcW w:w="1485" w:type="pct"/>
            <w:gridSpan w:val="2"/>
            <w:vAlign w:val="center"/>
          </w:tcPr>
          <w:p>
            <w:pPr>
              <w:pStyle w:val="30"/>
              <w:rPr>
                <w:rFonts w:eastAsia="宋体" w:cs="Times New Roman"/>
                <w:b/>
                <w:bCs/>
              </w:rPr>
            </w:pPr>
            <w:r>
              <w:rPr>
                <w:rFonts w:eastAsia="宋体" w:cs="Times New Roman"/>
                <w:b/>
                <w:bCs/>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pct"/>
            <w:vMerge w:val="continue"/>
            <w:vAlign w:val="center"/>
          </w:tcPr>
          <w:p>
            <w:pPr>
              <w:pStyle w:val="30"/>
              <w:rPr>
                <w:rFonts w:eastAsia="宋体" w:cs="Times New Roman"/>
              </w:rPr>
            </w:pPr>
          </w:p>
        </w:tc>
        <w:tc>
          <w:tcPr>
            <w:tcW w:w="644" w:type="pct"/>
            <w:vMerge w:val="continue"/>
            <w:vAlign w:val="center"/>
          </w:tcPr>
          <w:p>
            <w:pPr>
              <w:pStyle w:val="30"/>
              <w:rPr>
                <w:rFonts w:eastAsia="宋体" w:cs="Times New Roman"/>
              </w:rPr>
            </w:pPr>
          </w:p>
        </w:tc>
        <w:tc>
          <w:tcPr>
            <w:tcW w:w="655" w:type="pct"/>
            <w:vMerge w:val="continue"/>
            <w:vAlign w:val="center"/>
          </w:tcPr>
          <w:p>
            <w:pPr>
              <w:pStyle w:val="30"/>
              <w:rPr>
                <w:rFonts w:eastAsia="宋体" w:cs="Times New Roman"/>
              </w:rPr>
            </w:pPr>
          </w:p>
        </w:tc>
        <w:tc>
          <w:tcPr>
            <w:tcW w:w="747" w:type="pct"/>
            <w:vAlign w:val="center"/>
          </w:tcPr>
          <w:p>
            <w:pPr>
              <w:pStyle w:val="30"/>
              <w:rPr>
                <w:rFonts w:eastAsia="宋体" w:cs="Times New Roman"/>
                <w:b/>
                <w:bCs/>
              </w:rPr>
            </w:pPr>
            <w:r>
              <w:rPr>
                <w:rFonts w:eastAsia="宋体" w:cs="Times New Roman"/>
                <w:b/>
                <w:bCs/>
              </w:rPr>
              <w:t>测量时间</w:t>
            </w:r>
          </w:p>
        </w:tc>
        <w:tc>
          <w:tcPr>
            <w:tcW w:w="791" w:type="pct"/>
            <w:vAlign w:val="center"/>
          </w:tcPr>
          <w:p>
            <w:pPr>
              <w:pStyle w:val="30"/>
              <w:rPr>
                <w:rFonts w:eastAsia="宋体" w:cs="Times New Roman"/>
                <w:b/>
                <w:bCs/>
              </w:rPr>
            </w:pPr>
            <w:r>
              <w:rPr>
                <w:rFonts w:eastAsia="宋体" w:cs="Times New Roman"/>
                <w:b/>
                <w:bCs/>
              </w:rPr>
              <w:t>测量值/</w:t>
            </w:r>
          </w:p>
          <w:p>
            <w:pPr>
              <w:pStyle w:val="30"/>
              <w:rPr>
                <w:rFonts w:eastAsia="宋体" w:cs="Times New Roman"/>
                <w:b/>
                <w:bCs/>
              </w:rPr>
            </w:pPr>
            <w:r>
              <w:rPr>
                <w:rFonts w:eastAsia="宋体" w:cs="Times New Roman"/>
                <w:b/>
                <w:bCs/>
              </w:rPr>
              <w:t>dB（A）</w:t>
            </w:r>
          </w:p>
        </w:tc>
        <w:tc>
          <w:tcPr>
            <w:tcW w:w="731" w:type="pct"/>
            <w:vAlign w:val="center"/>
          </w:tcPr>
          <w:p>
            <w:pPr>
              <w:pStyle w:val="30"/>
              <w:rPr>
                <w:rFonts w:eastAsia="宋体" w:cs="Times New Roman"/>
                <w:b/>
                <w:bCs/>
              </w:rPr>
            </w:pPr>
            <w:r>
              <w:rPr>
                <w:rFonts w:eastAsia="宋体" w:cs="Times New Roman"/>
                <w:b/>
                <w:bCs/>
              </w:rPr>
              <w:t>测量时间</w:t>
            </w:r>
          </w:p>
        </w:tc>
        <w:tc>
          <w:tcPr>
            <w:tcW w:w="753" w:type="pct"/>
            <w:vAlign w:val="center"/>
          </w:tcPr>
          <w:p>
            <w:pPr>
              <w:pStyle w:val="30"/>
              <w:rPr>
                <w:rFonts w:eastAsia="宋体" w:cs="Times New Roman"/>
                <w:b/>
                <w:bCs/>
              </w:rPr>
            </w:pPr>
            <w:r>
              <w:rPr>
                <w:rFonts w:eastAsia="宋体" w:cs="Times New Roman"/>
                <w:b/>
                <w:bCs/>
              </w:rPr>
              <w:t>测量值/</w:t>
            </w:r>
          </w:p>
          <w:p>
            <w:pPr>
              <w:pStyle w:val="30"/>
              <w:rPr>
                <w:rFonts w:eastAsia="宋体" w:cs="Times New Roman"/>
                <w:b/>
                <w:bCs/>
              </w:rPr>
            </w:pPr>
            <w:r>
              <w:rPr>
                <w:rFonts w:eastAsia="宋体" w:cs="Times New Roman"/>
                <w:b/>
                <w:bCs/>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pct"/>
            <w:vAlign w:val="center"/>
          </w:tcPr>
          <w:p>
            <w:pPr>
              <w:pStyle w:val="30"/>
              <w:rPr>
                <w:rFonts w:eastAsia="宋体" w:cs="Times New Roman"/>
              </w:rPr>
            </w:pPr>
            <w:r>
              <w:rPr>
                <w:rFonts w:eastAsia="宋体" w:cs="Times New Roman"/>
              </w:rPr>
              <w:t>2021.10.24</w:t>
            </w:r>
          </w:p>
        </w:tc>
        <w:tc>
          <w:tcPr>
            <w:tcW w:w="644" w:type="pct"/>
            <w:vAlign w:val="center"/>
          </w:tcPr>
          <w:p>
            <w:pPr>
              <w:pStyle w:val="30"/>
              <w:rPr>
                <w:rFonts w:eastAsia="宋体" w:cs="Times New Roman"/>
              </w:rPr>
            </w:pPr>
            <w:r>
              <w:rPr>
                <w:rFonts w:eastAsia="宋体" w:cs="Times New Roman"/>
              </w:rPr>
              <w:t>05#东</w:t>
            </w:r>
            <w:r>
              <w:rPr>
                <w:rFonts w:hint="eastAsia" w:eastAsia="宋体" w:cs="Times New Roman"/>
              </w:rPr>
              <w:t>南</w:t>
            </w:r>
            <w:r>
              <w:rPr>
                <w:rFonts w:eastAsia="宋体" w:cs="Times New Roman"/>
              </w:rPr>
              <w:t xml:space="preserve">侧敏感点 </w:t>
            </w:r>
          </w:p>
        </w:tc>
        <w:tc>
          <w:tcPr>
            <w:tcW w:w="655" w:type="pct"/>
            <w:vAlign w:val="center"/>
          </w:tcPr>
          <w:p>
            <w:pPr>
              <w:pStyle w:val="30"/>
              <w:rPr>
                <w:rFonts w:eastAsia="宋体" w:cs="Times New Roman"/>
              </w:rPr>
            </w:pPr>
            <w:r>
              <w:rPr>
                <w:rFonts w:eastAsia="宋体" w:cs="Times New Roman"/>
              </w:rPr>
              <w:t>社会生活</w:t>
            </w:r>
          </w:p>
        </w:tc>
        <w:tc>
          <w:tcPr>
            <w:tcW w:w="747"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11:49-11:59</w:t>
            </w:r>
          </w:p>
        </w:tc>
        <w:tc>
          <w:tcPr>
            <w:tcW w:w="791"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52.6</w:t>
            </w:r>
          </w:p>
        </w:tc>
        <w:tc>
          <w:tcPr>
            <w:tcW w:w="731"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23:49-23:59</w:t>
            </w:r>
          </w:p>
        </w:tc>
        <w:tc>
          <w:tcPr>
            <w:tcW w:w="753"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5" w:type="pct"/>
            <w:vAlign w:val="center"/>
          </w:tcPr>
          <w:p>
            <w:pPr>
              <w:pStyle w:val="30"/>
              <w:rPr>
                <w:rFonts w:eastAsia="宋体" w:cs="Times New Roman"/>
              </w:rPr>
            </w:pPr>
            <w:r>
              <w:rPr>
                <w:rFonts w:eastAsia="宋体" w:cs="Times New Roman"/>
              </w:rPr>
              <w:t>2021.10.25</w:t>
            </w:r>
          </w:p>
        </w:tc>
        <w:tc>
          <w:tcPr>
            <w:tcW w:w="644" w:type="pct"/>
            <w:vAlign w:val="center"/>
          </w:tcPr>
          <w:p>
            <w:pPr>
              <w:pStyle w:val="30"/>
              <w:rPr>
                <w:rFonts w:eastAsia="宋体" w:cs="Times New Roman"/>
              </w:rPr>
            </w:pPr>
            <w:r>
              <w:rPr>
                <w:rFonts w:eastAsia="宋体" w:cs="Times New Roman"/>
              </w:rPr>
              <w:t>05#东</w:t>
            </w:r>
            <w:r>
              <w:rPr>
                <w:rFonts w:hint="eastAsia" w:eastAsia="宋体" w:cs="Times New Roman"/>
              </w:rPr>
              <w:t>南</w:t>
            </w:r>
            <w:r>
              <w:rPr>
                <w:rFonts w:eastAsia="宋体" w:cs="Times New Roman"/>
              </w:rPr>
              <w:t>侧敏感点</w:t>
            </w:r>
          </w:p>
        </w:tc>
        <w:tc>
          <w:tcPr>
            <w:tcW w:w="655" w:type="pct"/>
            <w:vAlign w:val="center"/>
          </w:tcPr>
          <w:p>
            <w:pPr>
              <w:pStyle w:val="30"/>
              <w:rPr>
                <w:rFonts w:eastAsia="宋体" w:cs="Times New Roman"/>
              </w:rPr>
            </w:pPr>
            <w:r>
              <w:rPr>
                <w:rFonts w:eastAsia="宋体" w:cs="Times New Roman"/>
              </w:rPr>
              <w:t>社会生活</w:t>
            </w:r>
          </w:p>
        </w:tc>
        <w:tc>
          <w:tcPr>
            <w:tcW w:w="747"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11:53-12:03</w:t>
            </w:r>
          </w:p>
        </w:tc>
        <w:tc>
          <w:tcPr>
            <w:tcW w:w="791"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rPr>
            </w:pPr>
            <w:r>
              <w:rPr>
                <w:rFonts w:eastAsia="宋体" w:cs="Times New Roman"/>
              </w:rPr>
              <w:t>54.1</w:t>
            </w:r>
          </w:p>
        </w:tc>
        <w:tc>
          <w:tcPr>
            <w:tcW w:w="731"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23:39-23:49</w:t>
            </w:r>
          </w:p>
        </w:tc>
        <w:tc>
          <w:tcPr>
            <w:tcW w:w="753" w:type="pct"/>
            <w:tcBorders>
              <w:top w:val="single" w:color="auto" w:sz="4" w:space="0"/>
              <w:left w:val="single" w:color="auto" w:sz="4" w:space="0"/>
              <w:bottom w:val="single" w:color="auto" w:sz="4" w:space="0"/>
              <w:right w:val="single" w:color="auto" w:sz="4" w:space="0"/>
            </w:tcBorders>
            <w:vAlign w:val="center"/>
          </w:tcPr>
          <w:p>
            <w:pPr>
              <w:pStyle w:val="30"/>
              <w:rPr>
                <w:rFonts w:eastAsia="宋体" w:cs="Times New Roman"/>
                <w:szCs w:val="21"/>
              </w:rPr>
            </w:pPr>
            <w:r>
              <w:rPr>
                <w:rFonts w:eastAsia="宋体" w:cs="Times New Roman"/>
                <w:szCs w:val="21"/>
              </w:rPr>
              <w:t>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5" w:type="pct"/>
            <w:gridSpan w:val="3"/>
            <w:vAlign w:val="center"/>
          </w:tcPr>
          <w:p>
            <w:pPr>
              <w:pStyle w:val="30"/>
              <w:rPr>
                <w:rFonts w:eastAsia="宋体" w:cs="Times New Roman"/>
              </w:rPr>
            </w:pPr>
            <w:r>
              <w:rPr>
                <w:rFonts w:eastAsia="宋体" w:cs="Times New Roman"/>
              </w:rPr>
              <w:t>《声环境质量标准》2类标准值</w:t>
            </w:r>
          </w:p>
        </w:tc>
        <w:tc>
          <w:tcPr>
            <w:tcW w:w="1539" w:type="pct"/>
            <w:gridSpan w:val="2"/>
            <w:vAlign w:val="center"/>
          </w:tcPr>
          <w:p>
            <w:pPr>
              <w:pStyle w:val="30"/>
              <w:rPr>
                <w:rFonts w:eastAsia="宋体" w:cs="Times New Roman"/>
              </w:rPr>
            </w:pPr>
            <w:r>
              <w:rPr>
                <w:rFonts w:eastAsia="宋体" w:cs="Times New Roman"/>
              </w:rPr>
              <w:t>60</w:t>
            </w:r>
          </w:p>
        </w:tc>
        <w:tc>
          <w:tcPr>
            <w:tcW w:w="1485" w:type="pct"/>
            <w:gridSpan w:val="2"/>
            <w:vAlign w:val="center"/>
          </w:tcPr>
          <w:p>
            <w:pPr>
              <w:pStyle w:val="30"/>
              <w:rPr>
                <w:rFonts w:eastAsia="宋体" w:cs="Times New Roman"/>
              </w:rPr>
            </w:pPr>
            <w:r>
              <w:rPr>
                <w:rFonts w:eastAsia="宋体" w:cs="Times New Roma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75" w:type="pct"/>
            <w:gridSpan w:val="3"/>
            <w:vAlign w:val="center"/>
          </w:tcPr>
          <w:p>
            <w:pPr>
              <w:pStyle w:val="30"/>
              <w:rPr>
                <w:rFonts w:eastAsia="宋体" w:cs="Times New Roman"/>
              </w:rPr>
            </w:pPr>
            <w:r>
              <w:rPr>
                <w:rFonts w:eastAsia="宋体" w:cs="Times New Roman"/>
              </w:rPr>
              <w:t>达标情况</w:t>
            </w:r>
          </w:p>
        </w:tc>
        <w:tc>
          <w:tcPr>
            <w:tcW w:w="1539" w:type="pct"/>
            <w:gridSpan w:val="2"/>
            <w:vAlign w:val="center"/>
          </w:tcPr>
          <w:p>
            <w:pPr>
              <w:pStyle w:val="30"/>
              <w:rPr>
                <w:rFonts w:eastAsia="宋体" w:cs="Times New Roman"/>
              </w:rPr>
            </w:pPr>
            <w:r>
              <w:rPr>
                <w:rFonts w:eastAsia="宋体" w:cs="Times New Roman"/>
              </w:rPr>
              <w:t>达标</w:t>
            </w:r>
          </w:p>
        </w:tc>
        <w:tc>
          <w:tcPr>
            <w:tcW w:w="1485" w:type="pct"/>
            <w:gridSpan w:val="2"/>
            <w:vAlign w:val="center"/>
          </w:tcPr>
          <w:p>
            <w:pPr>
              <w:pStyle w:val="30"/>
              <w:rPr>
                <w:rFonts w:eastAsia="宋体" w:cs="Times New Roman"/>
              </w:rPr>
            </w:pPr>
            <w:r>
              <w:rPr>
                <w:rFonts w:eastAsia="宋体" w:cs="Times New Roman"/>
              </w:rPr>
              <w:t>达标</w:t>
            </w:r>
          </w:p>
        </w:tc>
      </w:tr>
    </w:tbl>
    <w:p>
      <w:pPr>
        <w:spacing w:before="156" w:beforeLines="50"/>
        <w:ind w:firstLine="480"/>
        <w:rPr>
          <w:rFonts w:eastAsia="宋体" w:cs="Times New Roman"/>
        </w:rPr>
      </w:pPr>
      <w:r>
        <w:rPr>
          <w:rFonts w:eastAsia="宋体" w:cs="Times New Roman"/>
        </w:rPr>
        <w:t>根据监测结果，公司厂界四侧昼夜间噪声监测值均达到《工业企业厂界环境噪声排放标准》（GB12348-2008）中的3类区标准要求。公司厂界东</w:t>
      </w:r>
      <w:r>
        <w:rPr>
          <w:rFonts w:hint="eastAsia" w:eastAsia="宋体" w:cs="Times New Roman"/>
        </w:rPr>
        <w:t>南</w:t>
      </w:r>
      <w:r>
        <w:rPr>
          <w:rFonts w:eastAsia="宋体" w:cs="Times New Roman"/>
        </w:rPr>
        <w:t>侧环境敏感点昼夜间噪声监测值可满足《声环境质量标准》（GB3096-2008）中的2类标准要求。</w:t>
      </w:r>
    </w:p>
    <w:p>
      <w:pPr>
        <w:pStyle w:val="6"/>
        <w:rPr>
          <w:rFonts w:eastAsia="宋体" w:cs="Times New Roman"/>
        </w:rPr>
      </w:pPr>
      <w:r>
        <w:rPr>
          <w:rFonts w:eastAsia="宋体" w:cs="Times New Roman"/>
        </w:rPr>
        <w:t>9.2.4固（液）体废物</w:t>
      </w:r>
    </w:p>
    <w:p>
      <w:pPr>
        <w:ind w:firstLine="480"/>
        <w:rPr>
          <w:rFonts w:eastAsia="宋体" w:cs="Times New Roman"/>
        </w:rPr>
      </w:pPr>
      <w:r>
        <w:rPr>
          <w:rFonts w:eastAsia="宋体" w:cs="Times New Roman"/>
        </w:rPr>
        <w:t>根据环评报告预测结果及验收期间实际调查情况，我公司固体废物具体产生、处置情况见表9-</w:t>
      </w:r>
      <w:r>
        <w:rPr>
          <w:rFonts w:hint="eastAsia" w:eastAsia="宋体" w:cs="Times New Roman"/>
        </w:rPr>
        <w:t>8</w:t>
      </w:r>
      <w:r>
        <w:rPr>
          <w:rFonts w:eastAsia="宋体" w:cs="Times New Roman"/>
        </w:rPr>
        <w:t>所示。</w:t>
      </w:r>
    </w:p>
    <w:p>
      <w:pPr>
        <w:spacing w:line="240" w:lineRule="auto"/>
        <w:ind w:firstLine="0" w:firstLineChars="0"/>
        <w:jc w:val="center"/>
        <w:rPr>
          <w:rFonts w:eastAsia="宋体" w:cs="Times New Roman"/>
          <w:b/>
          <w:bCs/>
          <w:sz w:val="21"/>
          <w:szCs w:val="21"/>
        </w:rPr>
      </w:pPr>
      <w:r>
        <w:rPr>
          <w:rFonts w:eastAsia="宋体" w:cs="Times New Roman"/>
          <w:b/>
          <w:bCs/>
          <w:sz w:val="21"/>
          <w:szCs w:val="21"/>
        </w:rPr>
        <w:t>表9-</w:t>
      </w:r>
      <w:r>
        <w:rPr>
          <w:rFonts w:hint="eastAsia" w:eastAsia="宋体" w:cs="Times New Roman"/>
          <w:b/>
          <w:bCs/>
          <w:sz w:val="21"/>
          <w:szCs w:val="21"/>
        </w:rPr>
        <w:t>8</w:t>
      </w:r>
      <w:r>
        <w:rPr>
          <w:rFonts w:eastAsia="宋体" w:cs="Times New Roman"/>
          <w:b/>
          <w:bCs/>
          <w:sz w:val="21"/>
          <w:szCs w:val="21"/>
        </w:rPr>
        <w:t>固体废物监测情况明细表  单位：t/a</w:t>
      </w:r>
    </w:p>
    <w:tbl>
      <w:tblPr>
        <w:tblStyle w:val="21"/>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
        <w:gridCol w:w="1207"/>
        <w:gridCol w:w="1096"/>
        <w:gridCol w:w="677"/>
        <w:gridCol w:w="1134"/>
        <w:gridCol w:w="1276"/>
        <w:gridCol w:w="921"/>
        <w:gridCol w:w="922"/>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vAlign w:val="center"/>
          </w:tcPr>
          <w:p>
            <w:pPr>
              <w:pStyle w:val="40"/>
              <w:rPr>
                <w:rFonts w:eastAsia="宋体" w:cs="Times New Roman"/>
                <w:b/>
                <w:bCs/>
                <w:color w:val="auto"/>
              </w:rPr>
            </w:pPr>
            <w:r>
              <w:rPr>
                <w:rFonts w:eastAsia="宋体" w:cs="Times New Roman"/>
                <w:b/>
                <w:bCs/>
                <w:color w:val="auto"/>
              </w:rPr>
              <w:t>序号</w:t>
            </w:r>
          </w:p>
        </w:tc>
        <w:tc>
          <w:tcPr>
            <w:tcW w:w="1207" w:type="dxa"/>
            <w:vAlign w:val="center"/>
          </w:tcPr>
          <w:p>
            <w:pPr>
              <w:pStyle w:val="40"/>
              <w:rPr>
                <w:rFonts w:eastAsia="宋体" w:cs="Times New Roman"/>
                <w:b/>
                <w:bCs/>
                <w:color w:val="auto"/>
              </w:rPr>
            </w:pPr>
            <w:r>
              <w:rPr>
                <w:rFonts w:eastAsia="宋体" w:cs="Times New Roman"/>
                <w:b/>
                <w:bCs/>
                <w:color w:val="auto"/>
              </w:rPr>
              <w:t>名称</w:t>
            </w:r>
          </w:p>
        </w:tc>
        <w:tc>
          <w:tcPr>
            <w:tcW w:w="1096" w:type="dxa"/>
            <w:vAlign w:val="center"/>
          </w:tcPr>
          <w:p>
            <w:pPr>
              <w:pStyle w:val="40"/>
              <w:rPr>
                <w:rFonts w:eastAsia="宋体" w:cs="Times New Roman"/>
                <w:b/>
                <w:bCs/>
                <w:color w:val="auto"/>
              </w:rPr>
            </w:pPr>
            <w:r>
              <w:rPr>
                <w:rFonts w:eastAsia="宋体" w:cs="Times New Roman"/>
                <w:b/>
                <w:bCs/>
                <w:color w:val="auto"/>
              </w:rPr>
              <w:t>产生工序</w:t>
            </w:r>
          </w:p>
        </w:tc>
        <w:tc>
          <w:tcPr>
            <w:tcW w:w="677" w:type="dxa"/>
            <w:vAlign w:val="center"/>
          </w:tcPr>
          <w:p>
            <w:pPr>
              <w:pStyle w:val="40"/>
              <w:rPr>
                <w:rFonts w:eastAsia="宋体" w:cs="Times New Roman"/>
                <w:b/>
                <w:bCs/>
                <w:color w:val="auto"/>
              </w:rPr>
            </w:pPr>
            <w:r>
              <w:rPr>
                <w:rFonts w:eastAsia="宋体" w:cs="Times New Roman"/>
                <w:b/>
                <w:bCs/>
                <w:color w:val="auto"/>
              </w:rPr>
              <w:t>形态</w:t>
            </w:r>
          </w:p>
        </w:tc>
        <w:tc>
          <w:tcPr>
            <w:tcW w:w="1134" w:type="dxa"/>
            <w:vAlign w:val="center"/>
          </w:tcPr>
          <w:p>
            <w:pPr>
              <w:pStyle w:val="40"/>
              <w:rPr>
                <w:rFonts w:eastAsia="宋体" w:cs="Times New Roman"/>
                <w:b/>
                <w:bCs/>
                <w:color w:val="auto"/>
              </w:rPr>
            </w:pPr>
            <w:r>
              <w:rPr>
                <w:rFonts w:eastAsia="宋体" w:cs="Times New Roman"/>
                <w:b/>
                <w:bCs/>
                <w:color w:val="auto"/>
              </w:rPr>
              <w:t>主要成分</w:t>
            </w:r>
          </w:p>
        </w:tc>
        <w:tc>
          <w:tcPr>
            <w:tcW w:w="1276" w:type="dxa"/>
            <w:vAlign w:val="center"/>
          </w:tcPr>
          <w:p>
            <w:pPr>
              <w:pStyle w:val="40"/>
              <w:rPr>
                <w:rFonts w:eastAsia="宋体" w:cs="Times New Roman"/>
                <w:b/>
                <w:bCs/>
                <w:color w:val="auto"/>
              </w:rPr>
            </w:pPr>
            <w:r>
              <w:rPr>
                <w:rFonts w:eastAsia="宋体" w:cs="Times New Roman"/>
                <w:b/>
                <w:bCs/>
                <w:color w:val="auto"/>
              </w:rPr>
              <w:t>属性</w:t>
            </w:r>
          </w:p>
        </w:tc>
        <w:tc>
          <w:tcPr>
            <w:tcW w:w="921" w:type="dxa"/>
            <w:vAlign w:val="center"/>
          </w:tcPr>
          <w:p>
            <w:pPr>
              <w:pStyle w:val="40"/>
              <w:rPr>
                <w:rFonts w:eastAsia="宋体" w:cs="Times New Roman"/>
                <w:b/>
                <w:bCs/>
                <w:color w:val="auto"/>
              </w:rPr>
            </w:pPr>
            <w:r>
              <w:rPr>
                <w:rFonts w:eastAsia="宋体" w:cs="Times New Roman"/>
                <w:b/>
                <w:bCs/>
                <w:color w:val="auto"/>
              </w:rPr>
              <w:t>环评预测产生量</w:t>
            </w:r>
          </w:p>
        </w:tc>
        <w:tc>
          <w:tcPr>
            <w:tcW w:w="922" w:type="dxa"/>
            <w:vAlign w:val="center"/>
          </w:tcPr>
          <w:p>
            <w:pPr>
              <w:pStyle w:val="40"/>
              <w:rPr>
                <w:rFonts w:eastAsia="宋体" w:cs="Times New Roman"/>
                <w:b/>
                <w:bCs/>
                <w:color w:val="auto"/>
              </w:rPr>
            </w:pPr>
            <w:r>
              <w:rPr>
                <w:rFonts w:eastAsia="宋体" w:cs="Times New Roman"/>
                <w:b/>
                <w:bCs/>
                <w:color w:val="auto"/>
              </w:rPr>
              <w:t>实际产生量</w:t>
            </w:r>
          </w:p>
        </w:tc>
        <w:tc>
          <w:tcPr>
            <w:tcW w:w="1134" w:type="dxa"/>
            <w:vAlign w:val="center"/>
          </w:tcPr>
          <w:p>
            <w:pPr>
              <w:pStyle w:val="40"/>
              <w:rPr>
                <w:rFonts w:eastAsia="宋体" w:cs="Times New Roman"/>
                <w:b/>
                <w:bCs/>
                <w:color w:val="auto"/>
              </w:rPr>
            </w:pPr>
            <w:r>
              <w:rPr>
                <w:rFonts w:eastAsia="宋体" w:cs="Times New Roman"/>
                <w:b/>
                <w:bCs/>
                <w:color w:val="auto"/>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vAlign w:val="center"/>
          </w:tcPr>
          <w:p>
            <w:pPr>
              <w:pStyle w:val="40"/>
              <w:rPr>
                <w:rFonts w:eastAsia="宋体" w:cs="Times New Roman"/>
                <w:color w:val="auto"/>
              </w:rPr>
            </w:pPr>
            <w:r>
              <w:rPr>
                <w:rFonts w:eastAsia="宋体" w:cs="Times New Roman"/>
                <w:color w:val="auto"/>
              </w:rPr>
              <w:t>1</w:t>
            </w:r>
          </w:p>
        </w:tc>
        <w:tc>
          <w:tcPr>
            <w:tcW w:w="1207"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废毛料</w:t>
            </w:r>
          </w:p>
        </w:tc>
        <w:tc>
          <w:tcPr>
            <w:tcW w:w="1096"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和毛、梳毛等</w:t>
            </w:r>
          </w:p>
        </w:tc>
        <w:tc>
          <w:tcPr>
            <w:tcW w:w="677"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固态</w:t>
            </w:r>
          </w:p>
        </w:tc>
        <w:tc>
          <w:tcPr>
            <w:tcW w:w="1134"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羊毛</w:t>
            </w:r>
          </w:p>
        </w:tc>
        <w:tc>
          <w:tcPr>
            <w:tcW w:w="1276"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一般固废</w:t>
            </w:r>
          </w:p>
        </w:tc>
        <w:tc>
          <w:tcPr>
            <w:tcW w:w="921" w:type="dxa"/>
            <w:vAlign w:val="center"/>
          </w:tcPr>
          <w:p>
            <w:pPr>
              <w:pStyle w:val="40"/>
              <w:rPr>
                <w:rFonts w:eastAsia="宋体" w:cs="Times New Roman"/>
                <w:color w:val="auto"/>
              </w:rPr>
            </w:pPr>
            <w:r>
              <w:rPr>
                <w:rFonts w:eastAsia="宋体" w:cs="Times New Roman"/>
                <w:color w:val="auto"/>
              </w:rPr>
              <w:t>105.8</w:t>
            </w:r>
          </w:p>
        </w:tc>
        <w:tc>
          <w:tcPr>
            <w:tcW w:w="922" w:type="dxa"/>
            <w:vAlign w:val="center"/>
          </w:tcPr>
          <w:p>
            <w:pPr>
              <w:pStyle w:val="40"/>
              <w:rPr>
                <w:rFonts w:eastAsia="宋体" w:cs="Times New Roman"/>
                <w:color w:val="auto"/>
              </w:rPr>
            </w:pPr>
            <w:r>
              <w:rPr>
                <w:rFonts w:eastAsia="宋体" w:cs="Times New Roman"/>
                <w:color w:val="auto"/>
              </w:rPr>
              <w:t>14.6</w:t>
            </w:r>
          </w:p>
        </w:tc>
        <w:tc>
          <w:tcPr>
            <w:tcW w:w="1134" w:type="dxa"/>
            <w:vMerge w:val="restart"/>
            <w:vAlign w:val="center"/>
          </w:tcPr>
          <w:p>
            <w:pPr>
              <w:pStyle w:val="40"/>
              <w:rPr>
                <w:rFonts w:eastAsia="宋体" w:cs="Times New Roman"/>
                <w:color w:val="auto"/>
              </w:rPr>
            </w:pPr>
            <w:r>
              <w:rPr>
                <w:rFonts w:eastAsia="宋体" w:cs="Times New Roman"/>
                <w:color w:val="auto"/>
              </w:rPr>
              <w:t>外卖综合利用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vAlign w:val="center"/>
          </w:tcPr>
          <w:p>
            <w:pPr>
              <w:pStyle w:val="40"/>
              <w:rPr>
                <w:rFonts w:eastAsia="宋体" w:cs="Times New Roman"/>
                <w:color w:val="auto"/>
              </w:rPr>
            </w:pPr>
            <w:r>
              <w:rPr>
                <w:rFonts w:eastAsia="宋体" w:cs="Times New Roman"/>
                <w:color w:val="auto"/>
              </w:rPr>
              <w:t>2</w:t>
            </w:r>
          </w:p>
        </w:tc>
        <w:tc>
          <w:tcPr>
            <w:tcW w:w="1207"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回收的纤维尘</w:t>
            </w:r>
          </w:p>
        </w:tc>
        <w:tc>
          <w:tcPr>
            <w:tcW w:w="1096"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废气处理</w:t>
            </w:r>
          </w:p>
        </w:tc>
        <w:tc>
          <w:tcPr>
            <w:tcW w:w="677"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bCs/>
                <w:color w:val="auto"/>
              </w:rPr>
            </w:pPr>
            <w:r>
              <w:rPr>
                <w:rFonts w:eastAsia="宋体" w:cs="Times New Roman"/>
                <w:color w:val="auto"/>
              </w:rPr>
              <w:t>固态</w:t>
            </w:r>
          </w:p>
        </w:tc>
        <w:tc>
          <w:tcPr>
            <w:tcW w:w="1134"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羊毛</w:t>
            </w:r>
          </w:p>
        </w:tc>
        <w:tc>
          <w:tcPr>
            <w:tcW w:w="1276"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一般固废</w:t>
            </w:r>
          </w:p>
        </w:tc>
        <w:tc>
          <w:tcPr>
            <w:tcW w:w="921" w:type="dxa"/>
            <w:vAlign w:val="center"/>
          </w:tcPr>
          <w:p>
            <w:pPr>
              <w:pStyle w:val="40"/>
              <w:rPr>
                <w:rFonts w:eastAsia="宋体" w:cs="Times New Roman"/>
                <w:color w:val="auto"/>
              </w:rPr>
            </w:pPr>
            <w:r>
              <w:rPr>
                <w:rFonts w:eastAsia="宋体" w:cs="Times New Roman"/>
                <w:color w:val="auto"/>
              </w:rPr>
              <w:t>9.972</w:t>
            </w:r>
          </w:p>
        </w:tc>
        <w:tc>
          <w:tcPr>
            <w:tcW w:w="922" w:type="dxa"/>
            <w:vAlign w:val="center"/>
          </w:tcPr>
          <w:p>
            <w:pPr>
              <w:pStyle w:val="40"/>
              <w:rPr>
                <w:rFonts w:eastAsia="宋体" w:cs="Times New Roman"/>
                <w:color w:val="auto"/>
              </w:rPr>
            </w:pPr>
            <w:r>
              <w:rPr>
                <w:rFonts w:eastAsia="宋体" w:cs="Times New Roman"/>
                <w:color w:val="auto"/>
              </w:rPr>
              <w:t>1.4</w:t>
            </w:r>
          </w:p>
        </w:tc>
        <w:tc>
          <w:tcPr>
            <w:tcW w:w="1134" w:type="dxa"/>
            <w:vMerge w:val="continue"/>
            <w:vAlign w:val="center"/>
          </w:tcPr>
          <w:p>
            <w:pPr>
              <w:pStyle w:val="40"/>
              <w:rPr>
                <w:rFonts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7" w:type="dxa"/>
            <w:vAlign w:val="center"/>
          </w:tcPr>
          <w:p>
            <w:pPr>
              <w:pStyle w:val="40"/>
              <w:rPr>
                <w:rFonts w:eastAsia="宋体" w:cs="Times New Roman"/>
                <w:color w:val="auto"/>
              </w:rPr>
            </w:pPr>
            <w:r>
              <w:rPr>
                <w:rFonts w:eastAsia="宋体" w:cs="Times New Roman"/>
                <w:color w:val="auto"/>
              </w:rPr>
              <w:t>3</w:t>
            </w:r>
          </w:p>
        </w:tc>
        <w:tc>
          <w:tcPr>
            <w:tcW w:w="1207"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生活垃圾</w:t>
            </w:r>
          </w:p>
        </w:tc>
        <w:tc>
          <w:tcPr>
            <w:tcW w:w="1096"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职工生活</w:t>
            </w:r>
          </w:p>
        </w:tc>
        <w:tc>
          <w:tcPr>
            <w:tcW w:w="677"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固态</w:t>
            </w:r>
          </w:p>
        </w:tc>
        <w:tc>
          <w:tcPr>
            <w:tcW w:w="1134"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废纸张、垃圾等</w:t>
            </w:r>
          </w:p>
        </w:tc>
        <w:tc>
          <w:tcPr>
            <w:tcW w:w="1276" w:type="dxa"/>
            <w:tcBorders>
              <w:top w:val="single" w:color="auto" w:sz="4" w:space="0"/>
              <w:left w:val="single" w:color="auto" w:sz="4" w:space="0"/>
              <w:bottom w:val="single" w:color="auto" w:sz="4" w:space="0"/>
              <w:right w:val="single" w:color="auto" w:sz="4" w:space="0"/>
            </w:tcBorders>
            <w:vAlign w:val="center"/>
          </w:tcPr>
          <w:p>
            <w:pPr>
              <w:pStyle w:val="40"/>
              <w:rPr>
                <w:rFonts w:eastAsia="宋体" w:cs="Times New Roman"/>
                <w:color w:val="auto"/>
              </w:rPr>
            </w:pPr>
            <w:r>
              <w:rPr>
                <w:rFonts w:eastAsia="宋体" w:cs="Times New Roman"/>
                <w:color w:val="auto"/>
              </w:rPr>
              <w:t>一般固废</w:t>
            </w:r>
          </w:p>
        </w:tc>
        <w:tc>
          <w:tcPr>
            <w:tcW w:w="921" w:type="dxa"/>
            <w:vAlign w:val="center"/>
          </w:tcPr>
          <w:p>
            <w:pPr>
              <w:pStyle w:val="40"/>
              <w:rPr>
                <w:rFonts w:eastAsia="宋体" w:cs="Times New Roman"/>
                <w:color w:val="auto"/>
              </w:rPr>
            </w:pPr>
            <w:r>
              <w:rPr>
                <w:rFonts w:eastAsia="宋体" w:cs="Times New Roman"/>
                <w:color w:val="auto"/>
              </w:rPr>
              <w:t>30.0</w:t>
            </w:r>
          </w:p>
        </w:tc>
        <w:tc>
          <w:tcPr>
            <w:tcW w:w="922" w:type="dxa"/>
            <w:vAlign w:val="center"/>
          </w:tcPr>
          <w:p>
            <w:pPr>
              <w:pStyle w:val="40"/>
              <w:rPr>
                <w:rFonts w:eastAsia="宋体" w:cs="Times New Roman"/>
                <w:color w:val="auto"/>
              </w:rPr>
            </w:pPr>
            <w:r>
              <w:rPr>
                <w:rFonts w:eastAsia="宋体" w:cs="Times New Roman"/>
                <w:color w:val="auto"/>
              </w:rPr>
              <w:t>6.7</w:t>
            </w:r>
          </w:p>
        </w:tc>
        <w:tc>
          <w:tcPr>
            <w:tcW w:w="1134" w:type="dxa"/>
            <w:vAlign w:val="center"/>
          </w:tcPr>
          <w:p>
            <w:pPr>
              <w:pStyle w:val="40"/>
              <w:rPr>
                <w:rFonts w:eastAsia="宋体" w:cs="Times New Roman"/>
                <w:color w:val="auto"/>
              </w:rPr>
            </w:pPr>
            <w:r>
              <w:rPr>
                <w:rFonts w:eastAsia="宋体" w:cs="Times New Roman"/>
                <w:color w:val="auto"/>
              </w:rPr>
              <w:t>委托环卫部门统一清运</w:t>
            </w:r>
          </w:p>
        </w:tc>
      </w:tr>
    </w:tbl>
    <w:p>
      <w:pPr>
        <w:spacing w:before="156" w:beforeLines="50"/>
        <w:ind w:firstLine="480"/>
        <w:rPr>
          <w:rFonts w:eastAsia="宋体" w:cs="Times New Roman"/>
        </w:rPr>
      </w:pPr>
      <w:r>
        <w:rPr>
          <w:rFonts w:eastAsia="宋体" w:cs="Times New Roman"/>
        </w:rPr>
        <w:t>固体废物的贮存和处置满足《中华人民共和国固体废物污染环境防治法（2020年修正）》、《浙江省固体废物污染环境防治条例》以及《一般工业固体废物贮存和填埋污染控制标准》（GB18599-2020）中相应防渗漏、防雨淋、防扬尘等环境保护要求的有关规定。</w:t>
      </w:r>
    </w:p>
    <w:p>
      <w:pPr>
        <w:pStyle w:val="6"/>
        <w:rPr>
          <w:rFonts w:eastAsia="宋体" w:cs="Times New Roman"/>
        </w:rPr>
      </w:pPr>
      <w:r>
        <w:rPr>
          <w:rFonts w:eastAsia="宋体" w:cs="Times New Roman"/>
        </w:rPr>
        <w:t>9.2.5污染物总量核算</w:t>
      </w:r>
    </w:p>
    <w:p>
      <w:pPr>
        <w:ind w:firstLine="480"/>
        <w:rPr>
          <w:rFonts w:eastAsia="宋体" w:cs="Times New Roman"/>
        </w:rPr>
      </w:pPr>
      <w:r>
        <w:rPr>
          <w:rFonts w:eastAsia="宋体" w:cs="Times New Roman"/>
          <w:bCs/>
        </w:rPr>
        <w:t>本项目总量控制指标主要为</w:t>
      </w:r>
      <w:r>
        <w:rPr>
          <w:rFonts w:eastAsia="宋体" w:cs="Times New Roman"/>
        </w:rPr>
        <w:t>COD</w:t>
      </w:r>
      <w:r>
        <w:rPr>
          <w:rFonts w:eastAsia="宋体" w:cs="Times New Roman"/>
          <w:vertAlign w:val="subscript"/>
        </w:rPr>
        <w:t>Cr</w:t>
      </w:r>
      <w:r>
        <w:rPr>
          <w:rFonts w:eastAsia="宋体" w:cs="Times New Roman"/>
        </w:rPr>
        <w:t>、NH</w:t>
      </w:r>
      <w:r>
        <w:rPr>
          <w:rFonts w:eastAsia="宋体" w:cs="Times New Roman"/>
          <w:vertAlign w:val="subscript"/>
        </w:rPr>
        <w:t>3</w:t>
      </w:r>
      <w:r>
        <w:rPr>
          <w:rFonts w:eastAsia="宋体" w:cs="Times New Roman"/>
        </w:rPr>
        <w:t>-N</w:t>
      </w:r>
      <w:r>
        <w:rPr>
          <w:rFonts w:hint="eastAsia" w:eastAsia="宋体" w:cs="Times New Roman"/>
        </w:rPr>
        <w:t>和颗粒物</w:t>
      </w:r>
      <w:r>
        <w:rPr>
          <w:rFonts w:eastAsia="宋体" w:cs="Times New Roman"/>
        </w:rPr>
        <w:t>，排放总量核算如下：</w:t>
      </w:r>
    </w:p>
    <w:p>
      <w:pPr>
        <w:ind w:firstLine="480"/>
        <w:rPr>
          <w:rFonts w:eastAsia="宋体" w:cs="Times New Roman"/>
        </w:rPr>
      </w:pPr>
      <w:r>
        <w:rPr>
          <w:rFonts w:eastAsia="宋体" w:cs="Times New Roman"/>
        </w:rPr>
        <w:t>公司生产过程中不产生生产废水，仅产生职工生活污水，经化粪池、隔油池预处理后排放总量约为</w:t>
      </w:r>
      <w:r>
        <w:rPr>
          <w:rFonts w:hint="eastAsia" w:eastAsia="宋体" w:cs="Times New Roman"/>
        </w:rPr>
        <w:t>943.2</w:t>
      </w:r>
      <w:r>
        <w:rPr>
          <w:rFonts w:eastAsia="宋体" w:cs="Times New Roman"/>
        </w:rPr>
        <w:t>t/a，入网废水经</w:t>
      </w:r>
      <w:r>
        <w:rPr>
          <w:rFonts w:hint="eastAsia" w:eastAsia="宋体" w:cs="Times New Roman"/>
        </w:rPr>
        <w:t>桐乡市城市污水处理有限责任公司</w:t>
      </w:r>
      <w:r>
        <w:rPr>
          <w:rFonts w:eastAsia="宋体" w:cs="Times New Roman"/>
        </w:rPr>
        <w:t>集中处理后达标排放，排放标准为《城镇污水处理厂污染物排放标准》（GB18918-2002）表1中的一级A标准（即COD</w:t>
      </w:r>
      <w:r>
        <w:rPr>
          <w:rFonts w:eastAsia="宋体" w:cs="Times New Roman"/>
          <w:vertAlign w:val="subscript"/>
        </w:rPr>
        <w:t>Cr</w:t>
      </w:r>
      <w:r>
        <w:rPr>
          <w:rFonts w:eastAsia="宋体" w:cs="Times New Roman"/>
        </w:rPr>
        <w:t>≤50mg/L、NH</w:t>
      </w:r>
      <w:r>
        <w:rPr>
          <w:rFonts w:eastAsia="宋体" w:cs="Times New Roman"/>
          <w:vertAlign w:val="subscript"/>
        </w:rPr>
        <w:t>3</w:t>
      </w:r>
      <w:r>
        <w:rPr>
          <w:rFonts w:eastAsia="宋体" w:cs="Times New Roman"/>
        </w:rPr>
        <w:t>-N≤5mg/L），则公司全厂水污染物排入外环境的总量分别是：COD</w:t>
      </w:r>
      <w:r>
        <w:rPr>
          <w:rFonts w:eastAsia="宋体" w:cs="Times New Roman"/>
          <w:vertAlign w:val="subscript"/>
        </w:rPr>
        <w:t>Cr</w:t>
      </w:r>
      <w:r>
        <w:rPr>
          <w:rFonts w:eastAsia="宋体" w:cs="Times New Roman"/>
        </w:rPr>
        <w:t>为0.</w:t>
      </w:r>
      <w:r>
        <w:rPr>
          <w:rFonts w:hint="eastAsia" w:eastAsia="宋体" w:cs="Times New Roman"/>
        </w:rPr>
        <w:t>047</w:t>
      </w:r>
      <w:r>
        <w:rPr>
          <w:rFonts w:eastAsia="宋体" w:cs="Times New Roman"/>
        </w:rPr>
        <w:t>t/a、NH</w:t>
      </w:r>
      <w:r>
        <w:rPr>
          <w:rFonts w:eastAsia="宋体" w:cs="Times New Roman"/>
          <w:vertAlign w:val="subscript"/>
        </w:rPr>
        <w:t>3</w:t>
      </w:r>
      <w:r>
        <w:rPr>
          <w:rFonts w:eastAsia="宋体" w:cs="Times New Roman"/>
        </w:rPr>
        <w:t>-N为0.0</w:t>
      </w:r>
      <w:r>
        <w:rPr>
          <w:rFonts w:hint="eastAsia" w:eastAsia="宋体" w:cs="Times New Roman"/>
        </w:rPr>
        <w:t>05</w:t>
      </w:r>
      <w:r>
        <w:rPr>
          <w:rFonts w:eastAsia="宋体" w:cs="Times New Roman"/>
        </w:rPr>
        <w:t>t/a，</w:t>
      </w:r>
      <w:r>
        <w:rPr>
          <w:rFonts w:hint="eastAsia" w:eastAsia="宋体" w:cs="Times New Roman"/>
        </w:rPr>
        <w:t>在</w:t>
      </w:r>
      <w:r>
        <w:t>环评报告中</w:t>
      </w:r>
      <w:r>
        <w:rPr>
          <w:rFonts w:hint="eastAsia"/>
        </w:rPr>
        <w:t>全厂</w:t>
      </w:r>
      <w:r>
        <w:t>COD</w:t>
      </w:r>
      <w:r>
        <w:rPr>
          <w:vertAlign w:val="subscript"/>
        </w:rPr>
        <w:t>Cr</w:t>
      </w:r>
      <w:r>
        <w:t>、NH</w:t>
      </w:r>
      <w:r>
        <w:rPr>
          <w:vertAlign w:val="subscript"/>
        </w:rPr>
        <w:t>3</w:t>
      </w:r>
      <w:r>
        <w:t>-N的达标排放量0.135t/a、0.01</w:t>
      </w:r>
      <w:r>
        <w:rPr>
          <w:rFonts w:hint="eastAsia"/>
        </w:rPr>
        <w:t>4t</w:t>
      </w:r>
      <w:r>
        <w:t>/a的范围之内，</w:t>
      </w:r>
      <w:r>
        <w:rPr>
          <w:rFonts w:eastAsia="宋体" w:cs="Times New Roman"/>
        </w:rPr>
        <w:t>符合总量控制要求。</w:t>
      </w:r>
    </w:p>
    <w:p>
      <w:pPr>
        <w:pStyle w:val="2"/>
        <w:spacing w:after="0"/>
        <w:ind w:left="0" w:leftChars="0" w:firstLine="480"/>
      </w:pPr>
      <w:r>
        <w:t>公司</w:t>
      </w:r>
      <w:r>
        <w:rPr>
          <w:rFonts w:hint="eastAsia"/>
        </w:rPr>
        <w:t>颗粒物</w:t>
      </w:r>
      <w:r>
        <w:t>经废气治理设施处理后排放浓度为</w:t>
      </w:r>
      <w:r>
        <w:rPr>
          <w:rFonts w:hint="eastAsia"/>
        </w:rPr>
        <w:t>5.2</w:t>
      </w:r>
      <w:r>
        <w:t>mg/m</w:t>
      </w:r>
      <w:r>
        <w:rPr>
          <w:vertAlign w:val="superscript"/>
        </w:rPr>
        <w:t>3</w:t>
      </w:r>
      <w:r>
        <w:t>，排放速率为</w:t>
      </w:r>
      <w:r>
        <w:rPr>
          <w:rFonts w:hint="eastAsia"/>
        </w:rPr>
        <w:t>0.01</w:t>
      </w:r>
      <w:r>
        <w:t>kg/h，废气治理设施运行时间为</w:t>
      </w:r>
      <w:r>
        <w:rPr>
          <w:rFonts w:hint="eastAsia"/>
        </w:rPr>
        <w:t>7200</w:t>
      </w:r>
      <w:r>
        <w:t>h，则公司</w:t>
      </w:r>
      <w:r>
        <w:rPr>
          <w:rFonts w:hint="eastAsia"/>
        </w:rPr>
        <w:t>颗粒物</w:t>
      </w:r>
      <w:r>
        <w:t>排入外环境的总量为0.</w:t>
      </w:r>
      <w:r>
        <w:rPr>
          <w:rFonts w:hint="eastAsia"/>
        </w:rPr>
        <w:t>072</w:t>
      </w:r>
      <w:r>
        <w:t>t/a，</w:t>
      </w:r>
      <w:r>
        <w:rPr>
          <w:rFonts w:hint="eastAsia"/>
        </w:rPr>
        <w:t>在</w:t>
      </w:r>
      <w:r>
        <w:t>环评报告中全厂</w:t>
      </w:r>
      <w:r>
        <w:rPr>
          <w:rFonts w:hint="eastAsia"/>
        </w:rPr>
        <w:t>颗粒物</w:t>
      </w:r>
      <w:r>
        <w:t>的达标排放量</w:t>
      </w:r>
      <w:r>
        <w:rPr>
          <w:rFonts w:hint="eastAsia"/>
        </w:rPr>
        <w:t>0.628</w:t>
      </w:r>
      <w:r>
        <w:t>t/a的范围之内，符合总量控制要求</w:t>
      </w:r>
    </w:p>
    <w:p>
      <w:pPr>
        <w:pStyle w:val="2"/>
        <w:ind w:left="480" w:firstLine="480"/>
        <w:rPr>
          <w:rFonts w:eastAsia="宋体" w:cs="Times New Roman"/>
        </w:rPr>
      </w:pPr>
    </w:p>
    <w:p>
      <w:pPr>
        <w:pStyle w:val="4"/>
        <w:rPr>
          <w:rFonts w:cs="Times New Roman"/>
        </w:rPr>
        <w:sectPr>
          <w:pgSz w:w="11906" w:h="16838"/>
          <w:pgMar w:top="1418" w:right="1701" w:bottom="1418" w:left="1701" w:header="851" w:footer="992" w:gutter="0"/>
          <w:pgNumType w:fmt="numberInDash"/>
          <w:cols w:space="425" w:num="1"/>
          <w:docGrid w:type="lines" w:linePitch="312" w:charSpace="0"/>
        </w:sectPr>
      </w:pPr>
      <w:bookmarkStart w:id="86" w:name="_Toc515273931"/>
      <w:bookmarkStart w:id="87" w:name="_Toc61959024"/>
    </w:p>
    <w:p>
      <w:pPr>
        <w:pStyle w:val="4"/>
        <w:rPr>
          <w:rFonts w:cs="Times New Roman"/>
        </w:rPr>
      </w:pPr>
      <w:r>
        <w:rPr>
          <w:rFonts w:cs="Times New Roman"/>
        </w:rPr>
        <w:t>10验收监测结论</w:t>
      </w:r>
      <w:bookmarkEnd w:id="86"/>
      <w:bookmarkEnd w:id="87"/>
    </w:p>
    <w:p>
      <w:pPr>
        <w:pStyle w:val="5"/>
        <w:rPr>
          <w:rFonts w:cs="Times New Roman"/>
        </w:rPr>
      </w:pPr>
      <w:bookmarkStart w:id="88" w:name="_Toc61959025"/>
      <w:r>
        <w:rPr>
          <w:rFonts w:cs="Times New Roman"/>
        </w:rPr>
        <w:t>10.1生产工况</w:t>
      </w:r>
      <w:bookmarkEnd w:id="88"/>
    </w:p>
    <w:p>
      <w:pPr>
        <w:ind w:firstLine="480"/>
        <w:rPr>
          <w:rFonts w:eastAsia="宋体" w:cs="Times New Roman"/>
          <w:b/>
          <w:bCs/>
        </w:rPr>
      </w:pPr>
      <w:r>
        <w:rPr>
          <w:rFonts w:eastAsia="宋体" w:cs="Times New Roman"/>
        </w:rPr>
        <w:t>验收监测期间，我公司生产正常，设施运行稳定，满足验收监测技术规范要求。</w:t>
      </w:r>
    </w:p>
    <w:p>
      <w:pPr>
        <w:pStyle w:val="5"/>
        <w:rPr>
          <w:rFonts w:cs="Times New Roman"/>
        </w:rPr>
      </w:pPr>
      <w:bookmarkStart w:id="89" w:name="_Toc61959026"/>
      <w:bookmarkStart w:id="90" w:name="_Toc515273932"/>
      <w:r>
        <w:rPr>
          <w:rFonts w:cs="Times New Roman"/>
        </w:rPr>
        <w:t>10.2废水</w:t>
      </w:r>
      <w:bookmarkEnd w:id="89"/>
      <w:bookmarkEnd w:id="90"/>
    </w:p>
    <w:p>
      <w:pPr>
        <w:ind w:firstLine="480"/>
        <w:rPr>
          <w:rFonts w:eastAsia="宋体" w:cs="Times New Roman"/>
        </w:rPr>
      </w:pPr>
      <w:r>
        <w:rPr>
          <w:rFonts w:eastAsia="宋体" w:cs="Times New Roman"/>
        </w:rPr>
        <w:t>根据监测结果，公司废水总排口的水质中pH、COD</w:t>
      </w:r>
      <w:r>
        <w:rPr>
          <w:rFonts w:eastAsia="宋体" w:cs="Times New Roman"/>
          <w:vertAlign w:val="subscript"/>
        </w:rPr>
        <w:t>Cr</w:t>
      </w:r>
      <w:r>
        <w:rPr>
          <w:rFonts w:eastAsia="宋体" w:cs="Times New Roman"/>
        </w:rPr>
        <w:t>、BOD</w:t>
      </w:r>
      <w:r>
        <w:rPr>
          <w:rFonts w:eastAsia="宋体" w:cs="Times New Roman"/>
          <w:vertAlign w:val="subscript"/>
        </w:rPr>
        <w:t>5</w:t>
      </w:r>
      <w:r>
        <w:rPr>
          <w:rFonts w:eastAsia="宋体" w:cs="Times New Roman"/>
        </w:rPr>
        <w:t>、SS的污染物浓度日均值均达到《污水综合排放标准》（GB8978-1996）表4中的三级标准，NH</w:t>
      </w:r>
      <w:r>
        <w:rPr>
          <w:rFonts w:eastAsia="宋体" w:cs="Times New Roman"/>
          <w:vertAlign w:val="subscript"/>
        </w:rPr>
        <w:t>3</w:t>
      </w:r>
      <w:r>
        <w:rPr>
          <w:rFonts w:eastAsia="宋体" w:cs="Times New Roman"/>
        </w:rPr>
        <w:t>-N、总磷浓度日均值达到DB33/887-2013《工业企业废水氮、磷污染物间接排放限值》表1中的工业企业水污染间接排放限值相关要求。pH、COD</w:t>
      </w:r>
      <w:r>
        <w:rPr>
          <w:rFonts w:eastAsia="宋体" w:cs="Times New Roman"/>
          <w:vertAlign w:val="subscript"/>
        </w:rPr>
        <w:t>Cr</w:t>
      </w:r>
      <w:r>
        <w:rPr>
          <w:rFonts w:eastAsia="宋体" w:cs="Times New Roman"/>
        </w:rPr>
        <w:t>、BOD</w:t>
      </w:r>
      <w:r>
        <w:rPr>
          <w:rFonts w:eastAsia="宋体" w:cs="Times New Roman"/>
          <w:vertAlign w:val="subscript"/>
        </w:rPr>
        <w:t>5</w:t>
      </w:r>
      <w:r>
        <w:rPr>
          <w:rFonts w:eastAsia="宋体" w:cs="Times New Roman"/>
        </w:rPr>
        <w:t>、NH</w:t>
      </w:r>
      <w:r>
        <w:rPr>
          <w:rFonts w:eastAsia="宋体" w:cs="Times New Roman"/>
          <w:vertAlign w:val="subscript"/>
        </w:rPr>
        <w:t>3</w:t>
      </w:r>
      <w:r>
        <w:rPr>
          <w:rFonts w:eastAsia="宋体" w:cs="Times New Roman"/>
        </w:rPr>
        <w:t>-N、SS、总磷的单项次达标率为100%。</w:t>
      </w:r>
    </w:p>
    <w:p>
      <w:pPr>
        <w:pStyle w:val="5"/>
        <w:rPr>
          <w:rFonts w:cs="Times New Roman"/>
        </w:rPr>
      </w:pPr>
      <w:bookmarkStart w:id="91" w:name="_Toc515273933"/>
      <w:bookmarkStart w:id="92" w:name="_Toc61959027"/>
      <w:r>
        <w:rPr>
          <w:rFonts w:cs="Times New Roman"/>
        </w:rPr>
        <w:t>10.3废气</w:t>
      </w:r>
      <w:bookmarkEnd w:id="91"/>
      <w:bookmarkEnd w:id="92"/>
    </w:p>
    <w:p>
      <w:pPr>
        <w:ind w:firstLine="480"/>
        <w:rPr>
          <w:rFonts w:eastAsia="宋体" w:cs="Times New Roman"/>
        </w:rPr>
      </w:pPr>
      <w:bookmarkStart w:id="93" w:name="_Toc515273934"/>
      <w:r>
        <w:rPr>
          <w:rFonts w:eastAsia="宋体" w:cs="Times New Roman"/>
        </w:rPr>
        <w:t>根据监测结果，公司</w:t>
      </w:r>
      <w:r>
        <w:rPr>
          <w:rFonts w:hint="eastAsia" w:eastAsia="宋体" w:cs="Times New Roman"/>
        </w:rPr>
        <w:t>颗粒物有组织排放浓度低于《大气污染综合排放标准》（GB16297-1996）中表2二级标准，</w:t>
      </w:r>
      <w:r>
        <w:rPr>
          <w:rFonts w:eastAsia="宋体" w:cs="Times New Roman"/>
        </w:rPr>
        <w:t>厂界四周总悬浮颗粒物无组织排放浓度低于《大气污染综合排放标准》（GB16297-1996）中表2规定的无组织排放监控浓度限值。</w:t>
      </w:r>
    </w:p>
    <w:p>
      <w:pPr>
        <w:pStyle w:val="5"/>
        <w:rPr>
          <w:rFonts w:cs="Times New Roman"/>
          <w:szCs w:val="24"/>
        </w:rPr>
      </w:pPr>
      <w:bookmarkStart w:id="94" w:name="_Toc61959028"/>
      <w:r>
        <w:rPr>
          <w:rFonts w:cs="Times New Roman"/>
          <w:szCs w:val="24"/>
        </w:rPr>
        <w:t>10.4噪声</w:t>
      </w:r>
      <w:bookmarkEnd w:id="93"/>
      <w:bookmarkEnd w:id="94"/>
    </w:p>
    <w:p>
      <w:pPr>
        <w:ind w:firstLine="480"/>
        <w:rPr>
          <w:rFonts w:eastAsia="宋体" w:cs="Times New Roman"/>
          <w:b/>
          <w:bCs/>
        </w:rPr>
      </w:pPr>
      <w:r>
        <w:rPr>
          <w:rFonts w:eastAsia="宋体" w:cs="Times New Roman"/>
        </w:rPr>
        <w:t>根据监测结果，公司厂界四侧昼夜间噪声监测值均达到《工业企业厂界环境噪声排放标准》（GB12348-2008）中的3类区标准要求。公司</w:t>
      </w:r>
      <w:r>
        <w:rPr>
          <w:rFonts w:hint="eastAsia" w:eastAsia="宋体" w:cs="Times New Roman"/>
        </w:rPr>
        <w:t>厂界东南</w:t>
      </w:r>
      <w:r>
        <w:rPr>
          <w:rFonts w:eastAsia="宋体" w:cs="Times New Roman"/>
        </w:rPr>
        <w:t>侧环境敏感点昼夜间噪声监测值可满足《声环境质量标准》（GB3096-2008）中的2类标准要求。</w:t>
      </w:r>
    </w:p>
    <w:p>
      <w:pPr>
        <w:pStyle w:val="5"/>
        <w:rPr>
          <w:rFonts w:cs="Times New Roman"/>
          <w:szCs w:val="24"/>
        </w:rPr>
      </w:pPr>
      <w:bookmarkStart w:id="95" w:name="_Toc61959029"/>
      <w:bookmarkStart w:id="96" w:name="_Toc515273935"/>
      <w:r>
        <w:rPr>
          <w:rFonts w:cs="Times New Roman"/>
          <w:szCs w:val="24"/>
        </w:rPr>
        <w:t>10.5固体废弃物</w:t>
      </w:r>
      <w:bookmarkEnd w:id="95"/>
      <w:bookmarkEnd w:id="96"/>
    </w:p>
    <w:p>
      <w:pPr>
        <w:ind w:firstLine="480"/>
        <w:rPr>
          <w:rFonts w:eastAsia="宋体" w:cs="Times New Roman"/>
        </w:rPr>
      </w:pPr>
      <w:bookmarkStart w:id="97" w:name="_Toc515011450"/>
      <w:r>
        <w:rPr>
          <w:rFonts w:eastAsia="宋体" w:cs="Times New Roman"/>
        </w:rPr>
        <w:t>本项目产生的固体废物主要为</w:t>
      </w:r>
      <w:bookmarkStart w:id="98" w:name="_Hlk71815009"/>
      <w:r>
        <w:rPr>
          <w:rFonts w:eastAsia="宋体" w:cs="Times New Roman"/>
        </w:rPr>
        <w:t>废毛料、回收的纤维尘和生活垃圾。</w:t>
      </w:r>
    </w:p>
    <w:p>
      <w:pPr>
        <w:ind w:firstLine="480"/>
        <w:rPr>
          <w:rFonts w:eastAsia="宋体" w:cs="Times New Roman"/>
        </w:rPr>
      </w:pPr>
      <w:r>
        <w:rPr>
          <w:rFonts w:eastAsia="宋体" w:cs="Times New Roman"/>
        </w:rPr>
        <w:t>废毛料、回收的纤维尘由公司收集后外售物资回收公司进行综合利用；职工生活垃圾在厂内定点收集，由环卫部门统一清运。</w:t>
      </w:r>
    </w:p>
    <w:bookmarkEnd w:id="98"/>
    <w:p>
      <w:pPr>
        <w:ind w:firstLine="480"/>
        <w:rPr>
          <w:rFonts w:eastAsia="宋体" w:cs="Times New Roman"/>
        </w:rPr>
      </w:pPr>
      <w:bookmarkStart w:id="99" w:name="_Hlk81580638"/>
      <w:bookmarkStart w:id="100" w:name="_Toc61959030"/>
      <w:r>
        <w:rPr>
          <w:rFonts w:eastAsia="宋体" w:cs="Times New Roman"/>
        </w:rPr>
        <w:t>固体废物的贮存和处置满足《中华人民共和国固体废物污染环境防治法（2020年修正）》、《浙江省固体废物污染环境防治条例》以及《一般工业固体废物贮存和填埋污染控制标准》（GB18599-2020）中相应防渗漏、防雨淋、防扬尘等环境保护要求的有关规定</w:t>
      </w:r>
      <w:bookmarkEnd w:id="99"/>
      <w:r>
        <w:rPr>
          <w:rFonts w:eastAsia="宋体" w:cs="Times New Roman"/>
        </w:rPr>
        <w:t>。</w:t>
      </w:r>
    </w:p>
    <w:p>
      <w:pPr>
        <w:pStyle w:val="5"/>
        <w:rPr>
          <w:rFonts w:cs="Times New Roman"/>
          <w:szCs w:val="24"/>
        </w:rPr>
      </w:pPr>
      <w:r>
        <w:rPr>
          <w:rFonts w:cs="Times New Roman"/>
          <w:szCs w:val="24"/>
        </w:rPr>
        <w:t>10.6总量控制</w:t>
      </w:r>
      <w:bookmarkEnd w:id="97"/>
      <w:bookmarkEnd w:id="100"/>
    </w:p>
    <w:p>
      <w:pPr>
        <w:ind w:firstLine="480"/>
        <w:rPr>
          <w:rFonts w:eastAsia="宋体" w:cs="Times New Roman"/>
        </w:rPr>
      </w:pPr>
      <w:r>
        <w:rPr>
          <w:rFonts w:eastAsia="宋体" w:cs="Times New Roman"/>
        </w:rPr>
        <w:t>公司全厂总量控制指标COD</w:t>
      </w:r>
      <w:r>
        <w:rPr>
          <w:rFonts w:eastAsia="宋体" w:cs="Times New Roman"/>
          <w:vertAlign w:val="subscript"/>
        </w:rPr>
        <w:t>Cr</w:t>
      </w:r>
      <w:r>
        <w:rPr>
          <w:rFonts w:eastAsia="宋体" w:cs="Times New Roman"/>
        </w:rPr>
        <w:t>、NH</w:t>
      </w:r>
      <w:r>
        <w:rPr>
          <w:rFonts w:eastAsia="宋体" w:cs="Times New Roman"/>
          <w:vertAlign w:val="subscript"/>
        </w:rPr>
        <w:t>3</w:t>
      </w:r>
      <w:r>
        <w:rPr>
          <w:rFonts w:eastAsia="宋体" w:cs="Times New Roman"/>
        </w:rPr>
        <w:t>-N</w:t>
      </w:r>
      <w:r>
        <w:rPr>
          <w:rFonts w:hint="eastAsia" w:eastAsia="宋体" w:cs="Times New Roman"/>
        </w:rPr>
        <w:t>和颗粒物</w:t>
      </w:r>
      <w:r>
        <w:rPr>
          <w:rFonts w:eastAsia="宋体" w:cs="Times New Roman"/>
        </w:rPr>
        <w:t>的</w:t>
      </w:r>
      <w:r>
        <w:rPr>
          <w:rFonts w:eastAsia="宋体" w:cs="Times New Roman"/>
          <w:bCs/>
        </w:rPr>
        <w:t>年排放量与环评报告审批量见下表</w:t>
      </w:r>
      <w:r>
        <w:rPr>
          <w:rFonts w:eastAsia="宋体" w:cs="Times New Roman"/>
        </w:rPr>
        <w:t>。</w:t>
      </w:r>
    </w:p>
    <w:p>
      <w:pPr>
        <w:pStyle w:val="31"/>
        <w:spacing w:before="62" w:after="31"/>
        <w:rPr>
          <w:rFonts w:eastAsia="宋体"/>
        </w:rPr>
      </w:pPr>
      <w:r>
        <w:rPr>
          <w:rFonts w:eastAsia="宋体"/>
        </w:rPr>
        <w:t>表10-1  总量控制情况</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22"/>
        <w:gridCol w:w="1934"/>
        <w:gridCol w:w="2180"/>
        <w:gridCol w:w="21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9" w:type="pct"/>
            <w:vAlign w:val="center"/>
          </w:tcPr>
          <w:p>
            <w:pPr>
              <w:pStyle w:val="30"/>
              <w:rPr>
                <w:rFonts w:eastAsia="宋体" w:cs="Times New Roman"/>
                <w:b/>
                <w:bCs/>
                <w:szCs w:val="21"/>
              </w:rPr>
            </w:pPr>
            <w:r>
              <w:rPr>
                <w:rFonts w:eastAsia="宋体" w:cs="Times New Roman"/>
                <w:b/>
                <w:bCs/>
                <w:szCs w:val="21"/>
              </w:rPr>
              <w:t>污染物类别</w:t>
            </w:r>
          </w:p>
        </w:tc>
        <w:tc>
          <w:tcPr>
            <w:tcW w:w="1109" w:type="pct"/>
            <w:vAlign w:val="center"/>
          </w:tcPr>
          <w:p>
            <w:pPr>
              <w:pStyle w:val="30"/>
              <w:rPr>
                <w:rFonts w:eastAsia="宋体" w:cs="Times New Roman"/>
                <w:b/>
                <w:bCs/>
                <w:szCs w:val="21"/>
              </w:rPr>
            </w:pPr>
            <w:r>
              <w:rPr>
                <w:rFonts w:eastAsia="宋体" w:cs="Times New Roman"/>
                <w:b/>
                <w:bCs/>
                <w:szCs w:val="21"/>
              </w:rPr>
              <w:t>COD</w:t>
            </w:r>
            <w:r>
              <w:rPr>
                <w:rFonts w:eastAsia="宋体" w:cs="Times New Roman"/>
                <w:b/>
                <w:bCs/>
                <w:szCs w:val="21"/>
                <w:vertAlign w:val="subscript"/>
              </w:rPr>
              <w:t>Cr</w:t>
            </w:r>
          </w:p>
        </w:tc>
        <w:tc>
          <w:tcPr>
            <w:tcW w:w="1250" w:type="pct"/>
            <w:vAlign w:val="center"/>
          </w:tcPr>
          <w:p>
            <w:pPr>
              <w:pStyle w:val="30"/>
              <w:rPr>
                <w:rFonts w:eastAsia="宋体" w:cs="Times New Roman"/>
                <w:b/>
                <w:bCs/>
                <w:szCs w:val="21"/>
              </w:rPr>
            </w:pPr>
            <w:r>
              <w:rPr>
                <w:rFonts w:eastAsia="宋体" w:cs="Times New Roman"/>
                <w:b/>
                <w:bCs/>
                <w:szCs w:val="21"/>
              </w:rPr>
              <w:t>NH</w:t>
            </w:r>
            <w:r>
              <w:rPr>
                <w:rFonts w:eastAsia="宋体" w:cs="Times New Roman"/>
                <w:b/>
                <w:bCs/>
                <w:szCs w:val="21"/>
                <w:vertAlign w:val="subscript"/>
              </w:rPr>
              <w:t>3</w:t>
            </w:r>
            <w:r>
              <w:rPr>
                <w:rFonts w:eastAsia="宋体" w:cs="Times New Roman"/>
                <w:b/>
                <w:bCs/>
                <w:szCs w:val="21"/>
              </w:rPr>
              <w:t>-N</w:t>
            </w:r>
          </w:p>
        </w:tc>
        <w:tc>
          <w:tcPr>
            <w:tcW w:w="1250" w:type="pct"/>
            <w:vAlign w:val="center"/>
          </w:tcPr>
          <w:p>
            <w:pPr>
              <w:pStyle w:val="30"/>
              <w:rPr>
                <w:rFonts w:eastAsia="宋体" w:cs="Times New Roman"/>
                <w:b/>
                <w:bCs/>
                <w:szCs w:val="21"/>
              </w:rPr>
            </w:pPr>
            <w:r>
              <w:rPr>
                <w:rFonts w:hint="eastAsia" w:eastAsia="宋体" w:cs="Times New Roman"/>
                <w:b/>
                <w:bCs/>
                <w:szCs w:val="21"/>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9" w:type="pct"/>
            <w:vAlign w:val="center"/>
          </w:tcPr>
          <w:p>
            <w:pPr>
              <w:pStyle w:val="42"/>
            </w:pPr>
            <w:r>
              <w:t>实际排放量（t/a）</w:t>
            </w:r>
          </w:p>
        </w:tc>
        <w:tc>
          <w:tcPr>
            <w:tcW w:w="1109" w:type="pct"/>
            <w:vAlign w:val="center"/>
          </w:tcPr>
          <w:p>
            <w:pPr>
              <w:pStyle w:val="30"/>
              <w:rPr>
                <w:rFonts w:eastAsia="宋体" w:cs="Times New Roman"/>
                <w:szCs w:val="21"/>
              </w:rPr>
            </w:pPr>
            <w:r>
              <w:rPr>
                <w:rFonts w:eastAsia="宋体" w:cs="Times New Roman"/>
                <w:szCs w:val="21"/>
              </w:rPr>
              <w:t>0.</w:t>
            </w:r>
            <w:r>
              <w:rPr>
                <w:rFonts w:hint="eastAsia" w:eastAsia="宋体" w:cs="Times New Roman"/>
                <w:szCs w:val="21"/>
              </w:rPr>
              <w:t>047</w:t>
            </w:r>
          </w:p>
        </w:tc>
        <w:tc>
          <w:tcPr>
            <w:tcW w:w="1250" w:type="pct"/>
            <w:vAlign w:val="center"/>
          </w:tcPr>
          <w:p>
            <w:pPr>
              <w:pStyle w:val="30"/>
              <w:rPr>
                <w:rFonts w:eastAsia="宋体" w:cs="Times New Roman"/>
                <w:szCs w:val="21"/>
              </w:rPr>
            </w:pPr>
            <w:r>
              <w:rPr>
                <w:rFonts w:eastAsia="宋体" w:cs="Times New Roman"/>
                <w:szCs w:val="21"/>
              </w:rPr>
              <w:t>0.0</w:t>
            </w:r>
            <w:r>
              <w:rPr>
                <w:rFonts w:hint="eastAsia" w:eastAsia="宋体" w:cs="Times New Roman"/>
                <w:szCs w:val="21"/>
              </w:rPr>
              <w:t>05</w:t>
            </w:r>
          </w:p>
        </w:tc>
        <w:tc>
          <w:tcPr>
            <w:tcW w:w="1250" w:type="pct"/>
            <w:vAlign w:val="center"/>
          </w:tcPr>
          <w:p>
            <w:pPr>
              <w:pStyle w:val="30"/>
              <w:rPr>
                <w:rFonts w:eastAsia="宋体" w:cs="Times New Roman"/>
                <w:szCs w:val="21"/>
              </w:rPr>
            </w:pPr>
            <w:r>
              <w:rPr>
                <w:rFonts w:hint="eastAsia" w:eastAsia="宋体" w:cs="Times New Roman"/>
                <w:szCs w:val="21"/>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9" w:type="pct"/>
            <w:vAlign w:val="center"/>
          </w:tcPr>
          <w:p>
            <w:pPr>
              <w:pStyle w:val="42"/>
            </w:pPr>
            <w:r>
              <w:t>环评报告审批量（t/a）</w:t>
            </w:r>
          </w:p>
        </w:tc>
        <w:tc>
          <w:tcPr>
            <w:tcW w:w="1109" w:type="pct"/>
            <w:vAlign w:val="center"/>
          </w:tcPr>
          <w:p>
            <w:pPr>
              <w:pStyle w:val="30"/>
              <w:rPr>
                <w:rFonts w:eastAsia="宋体" w:cs="Times New Roman"/>
                <w:szCs w:val="21"/>
              </w:rPr>
            </w:pPr>
            <w:r>
              <w:rPr>
                <w:rFonts w:eastAsia="宋体" w:cs="Times New Roman"/>
                <w:szCs w:val="21"/>
              </w:rPr>
              <w:t>0.135</w:t>
            </w:r>
          </w:p>
        </w:tc>
        <w:tc>
          <w:tcPr>
            <w:tcW w:w="1250" w:type="pct"/>
            <w:vAlign w:val="center"/>
          </w:tcPr>
          <w:p>
            <w:pPr>
              <w:pStyle w:val="30"/>
              <w:rPr>
                <w:rFonts w:eastAsia="宋体" w:cs="Times New Roman"/>
                <w:szCs w:val="21"/>
              </w:rPr>
            </w:pPr>
            <w:r>
              <w:rPr>
                <w:rFonts w:eastAsia="宋体" w:cs="Times New Roman"/>
                <w:szCs w:val="21"/>
              </w:rPr>
              <w:t>0.014</w:t>
            </w:r>
          </w:p>
        </w:tc>
        <w:tc>
          <w:tcPr>
            <w:tcW w:w="1250" w:type="pct"/>
            <w:vAlign w:val="center"/>
          </w:tcPr>
          <w:p>
            <w:pPr>
              <w:pStyle w:val="30"/>
              <w:rPr>
                <w:rFonts w:eastAsia="宋体" w:cs="Times New Roman"/>
                <w:szCs w:val="21"/>
              </w:rPr>
            </w:pPr>
            <w:r>
              <w:rPr>
                <w:rFonts w:hint="eastAsia" w:eastAsia="宋体" w:cs="Times New Roman"/>
                <w:szCs w:val="21"/>
              </w:rPr>
              <w:t>0.628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9" w:type="pct"/>
            <w:vAlign w:val="center"/>
          </w:tcPr>
          <w:p>
            <w:pPr>
              <w:spacing w:line="240" w:lineRule="auto"/>
              <w:ind w:firstLine="0" w:firstLineChars="0"/>
              <w:jc w:val="center"/>
              <w:rPr>
                <w:rFonts w:eastAsia="宋体" w:cs="Times New Roman"/>
                <w:sz w:val="21"/>
                <w:szCs w:val="21"/>
              </w:rPr>
            </w:pPr>
            <w:r>
              <w:rPr>
                <w:rFonts w:eastAsia="宋体" w:cs="Times New Roman"/>
                <w:sz w:val="21"/>
                <w:szCs w:val="21"/>
              </w:rPr>
              <w:t>是否控制在审批范围内</w:t>
            </w:r>
          </w:p>
        </w:tc>
        <w:tc>
          <w:tcPr>
            <w:tcW w:w="1109" w:type="pct"/>
            <w:vAlign w:val="center"/>
          </w:tcPr>
          <w:p>
            <w:pPr>
              <w:pStyle w:val="30"/>
              <w:rPr>
                <w:rFonts w:eastAsia="宋体" w:cs="Times New Roman"/>
                <w:szCs w:val="21"/>
              </w:rPr>
            </w:pPr>
            <w:r>
              <w:rPr>
                <w:rFonts w:eastAsia="宋体" w:cs="Times New Roman"/>
                <w:szCs w:val="21"/>
              </w:rPr>
              <w:t>是</w:t>
            </w:r>
          </w:p>
        </w:tc>
        <w:tc>
          <w:tcPr>
            <w:tcW w:w="1250" w:type="pct"/>
            <w:vAlign w:val="center"/>
          </w:tcPr>
          <w:p>
            <w:pPr>
              <w:pStyle w:val="30"/>
              <w:rPr>
                <w:rFonts w:eastAsia="宋体" w:cs="Times New Roman"/>
                <w:szCs w:val="21"/>
              </w:rPr>
            </w:pPr>
            <w:r>
              <w:rPr>
                <w:rFonts w:eastAsia="宋体" w:cs="Times New Roman"/>
                <w:szCs w:val="21"/>
              </w:rPr>
              <w:t>是</w:t>
            </w:r>
          </w:p>
        </w:tc>
        <w:tc>
          <w:tcPr>
            <w:tcW w:w="1250" w:type="pct"/>
            <w:vAlign w:val="center"/>
          </w:tcPr>
          <w:p>
            <w:pPr>
              <w:pStyle w:val="30"/>
              <w:rPr>
                <w:rFonts w:eastAsia="宋体" w:cs="Times New Roman"/>
                <w:szCs w:val="21"/>
              </w:rPr>
            </w:pPr>
            <w:r>
              <w:rPr>
                <w:rFonts w:eastAsia="宋体" w:cs="Times New Roman"/>
                <w:szCs w:val="21"/>
              </w:rPr>
              <w:t>是</w:t>
            </w:r>
          </w:p>
        </w:tc>
      </w:tr>
    </w:tbl>
    <w:p>
      <w:pPr>
        <w:pStyle w:val="5"/>
        <w:rPr>
          <w:rFonts w:cs="Times New Roman"/>
        </w:rPr>
      </w:pPr>
      <w:bookmarkStart w:id="101" w:name="_Toc61959031"/>
      <w:r>
        <w:rPr>
          <w:rFonts w:cs="Times New Roman"/>
        </w:rPr>
        <w:t>10.7结论</w:t>
      </w:r>
      <w:bookmarkEnd w:id="101"/>
    </w:p>
    <w:p>
      <w:pPr>
        <w:ind w:firstLine="480"/>
        <w:rPr>
          <w:rFonts w:eastAsia="宋体" w:cs="Times New Roman"/>
        </w:rPr>
      </w:pPr>
      <w:r>
        <w:rPr>
          <w:rFonts w:eastAsia="宋体" w:cs="Times New Roman"/>
        </w:rPr>
        <w:t>综上分析，本项目主要生产设施和环保设施运行正常，项目在验收调查期间，各项污染物监测结果可满足相关环境排放标准要求，按照建设项目环境保护“三同时”的有关要求，基本落实了环评文件及相关环保部门的要求，因此符合建设项目竣工环境保护验收条件。</w:t>
      </w:r>
    </w:p>
    <w:p>
      <w:pPr>
        <w:pStyle w:val="2"/>
        <w:ind w:left="480" w:firstLine="480"/>
        <w:rPr>
          <w:rFonts w:eastAsia="宋体" w:cs="Times New Roman"/>
        </w:rPr>
      </w:pPr>
    </w:p>
    <w:p>
      <w:pPr>
        <w:pStyle w:val="2"/>
        <w:ind w:left="0" w:leftChars="0" w:firstLine="0" w:firstLineChars="0"/>
        <w:rPr>
          <w:rFonts w:eastAsia="宋体" w:cs="Times New Roman"/>
          <w:b/>
          <w:bCs/>
        </w:rPr>
        <w:sectPr>
          <w:headerReference r:id="rId25" w:type="default"/>
          <w:pgSz w:w="11906" w:h="16838"/>
          <w:pgMar w:top="1418" w:right="1701" w:bottom="1418" w:left="1701" w:header="851" w:footer="992" w:gutter="0"/>
          <w:pgNumType w:fmt="numberInDash"/>
          <w:cols w:space="425" w:num="1"/>
          <w:docGrid w:type="lines" w:linePitch="312" w:charSpace="0"/>
        </w:sectPr>
      </w:pPr>
    </w:p>
    <w:p>
      <w:pPr>
        <w:ind w:firstLine="482"/>
        <w:jc w:val="center"/>
        <w:rPr>
          <w:rFonts w:eastAsia="宋体" w:cs="Times New Roman"/>
          <w:b/>
        </w:rPr>
      </w:pPr>
      <w:r>
        <w:rPr>
          <w:rFonts w:eastAsia="宋体" w:cs="Times New Roman"/>
          <w:b/>
        </w:rPr>
        <w:t>建设项目竣工环境保护“三同时”验收登记表</w:t>
      </w:r>
    </w:p>
    <w:p>
      <w:pPr>
        <w:spacing w:line="240" w:lineRule="auto"/>
        <w:ind w:firstLine="0" w:firstLineChars="0"/>
        <w:rPr>
          <w:rFonts w:eastAsia="宋体" w:cs="Times New Roman"/>
          <w:b/>
          <w:sz w:val="18"/>
          <w:szCs w:val="18"/>
        </w:rPr>
      </w:pPr>
      <w:r>
        <w:rPr>
          <w:rFonts w:eastAsia="宋体" w:cs="Times New Roman"/>
          <w:b/>
          <w:sz w:val="18"/>
          <w:szCs w:val="18"/>
        </w:rPr>
        <w:t>填表单位（盖章）：浙江允源毛纺股份有限公司                                                          填表人（签字）：                                                            项目经办人（签字）：</w:t>
      </w:r>
    </w:p>
    <w:tbl>
      <w:tblPr>
        <w:tblStyle w:val="21"/>
        <w:tblW w:w="15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430" w:type="dxa"/>
            <w:vMerge w:val="restart"/>
            <w:tcMar>
              <w:left w:w="57" w:type="dxa"/>
              <w:right w:w="57" w:type="dxa"/>
            </w:tcMar>
            <w:textDirection w:val="tbRlV"/>
            <w:vAlign w:val="center"/>
          </w:tcPr>
          <w:p>
            <w:pPr>
              <w:spacing w:line="240" w:lineRule="auto"/>
              <w:ind w:firstLine="0" w:firstLineChars="0"/>
              <w:jc w:val="center"/>
              <w:rPr>
                <w:rFonts w:eastAsia="宋体" w:cs="Times New Roman"/>
                <w:b/>
                <w:sz w:val="15"/>
                <w:szCs w:val="15"/>
              </w:rPr>
            </w:pPr>
            <w:r>
              <w:rPr>
                <w:rFonts w:eastAsia="宋体" w:cs="Times New Roman"/>
                <w:b/>
                <w:sz w:val="15"/>
                <w:szCs w:val="15"/>
              </w:rPr>
              <w:t>建设项目</w:t>
            </w:r>
          </w:p>
        </w:tc>
        <w:tc>
          <w:tcPr>
            <w:tcW w:w="1964" w:type="dxa"/>
            <w:gridSpan w:val="3"/>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项目名称</w:t>
            </w:r>
          </w:p>
        </w:tc>
        <w:tc>
          <w:tcPr>
            <w:tcW w:w="4871" w:type="dxa"/>
            <w:gridSpan w:val="6"/>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年产2000吨毛条新建项目</w:t>
            </w:r>
          </w:p>
        </w:tc>
        <w:tc>
          <w:tcPr>
            <w:tcW w:w="1939"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项目代码</w:t>
            </w:r>
          </w:p>
        </w:tc>
        <w:tc>
          <w:tcPr>
            <w:tcW w:w="2373" w:type="dxa"/>
            <w:gridSpan w:val="2"/>
            <w:tcMar>
              <w:left w:w="57" w:type="dxa"/>
              <w:right w:w="57" w:type="dxa"/>
            </w:tcMar>
            <w:vAlign w:val="center"/>
          </w:tcPr>
          <w:p>
            <w:pPr>
              <w:spacing w:line="240" w:lineRule="exact"/>
              <w:ind w:firstLine="0" w:firstLineChars="0"/>
              <w:rPr>
                <w:rFonts w:eastAsia="宋体" w:cs="Times New Roman"/>
                <w:bCs/>
                <w:sz w:val="15"/>
                <w:szCs w:val="15"/>
              </w:rPr>
            </w:pPr>
            <w:r>
              <w:rPr>
                <w:rFonts w:hint="eastAsia" w:eastAsia="宋体" w:cs="Times New Roman"/>
                <w:bCs/>
                <w:sz w:val="15"/>
                <w:szCs w:val="15"/>
              </w:rPr>
              <w:t>2017-330483-17-03-063999-000</w:t>
            </w:r>
          </w:p>
        </w:tc>
        <w:tc>
          <w:tcPr>
            <w:tcW w:w="1563" w:type="dxa"/>
            <w:gridSpan w:val="2"/>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建设地点</w:t>
            </w:r>
          </w:p>
        </w:tc>
        <w:tc>
          <w:tcPr>
            <w:tcW w:w="2784"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桐乡市濮院镇</w:t>
            </w:r>
            <w:r>
              <w:rPr>
                <w:rFonts w:hint="eastAsia" w:eastAsia="宋体" w:cs="Times New Roman"/>
                <w:sz w:val="15"/>
                <w:szCs w:val="15"/>
              </w:rPr>
              <w:t>濮院大道3715号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39"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行业类别（分类管理名录）</w:t>
            </w:r>
          </w:p>
        </w:tc>
        <w:tc>
          <w:tcPr>
            <w:tcW w:w="4871" w:type="dxa"/>
            <w:gridSpan w:val="6"/>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C17 纺织业</w:t>
            </w:r>
          </w:p>
        </w:tc>
        <w:tc>
          <w:tcPr>
            <w:tcW w:w="1939"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建设性质</w:t>
            </w:r>
          </w:p>
        </w:tc>
        <w:tc>
          <w:tcPr>
            <w:tcW w:w="3936"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sym w:font="Wingdings 2" w:char="0052"/>
            </w:r>
            <w:r>
              <w:rPr>
                <w:rFonts w:eastAsia="宋体" w:cs="Times New Roman"/>
                <w:b/>
                <w:sz w:val="15"/>
                <w:szCs w:val="15"/>
              </w:rPr>
              <w:t xml:space="preserve">新建   </w:t>
            </w:r>
            <w:r>
              <w:rPr>
                <w:rFonts w:eastAsia="宋体" w:cs="Times New Roman"/>
                <w:b/>
                <w:sz w:val="15"/>
                <w:szCs w:val="15"/>
              </w:rPr>
              <w:sym w:font="Wingdings 2" w:char="00A3"/>
            </w:r>
            <w:r>
              <w:rPr>
                <w:rFonts w:eastAsia="宋体" w:cs="Times New Roman"/>
                <w:b/>
                <w:sz w:val="15"/>
                <w:szCs w:val="15"/>
              </w:rPr>
              <w:t xml:space="preserve">改扩建  </w:t>
            </w:r>
            <w:r>
              <w:rPr>
                <w:rFonts w:eastAsia="宋体" w:cs="Times New Roman"/>
                <w:b/>
                <w:sz w:val="15"/>
                <w:szCs w:val="15"/>
              </w:rPr>
              <w:sym w:font="Wingdings 2" w:char="00A3"/>
            </w:r>
            <w:r>
              <w:rPr>
                <w:rFonts w:eastAsia="宋体" w:cs="Times New Roman"/>
                <w:b/>
                <w:sz w:val="15"/>
                <w:szCs w:val="15"/>
              </w:rPr>
              <w:t>技术改造</w:t>
            </w:r>
          </w:p>
        </w:tc>
        <w:tc>
          <w:tcPr>
            <w:tcW w:w="925"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项目厂区中心经度/纬度</w:t>
            </w:r>
          </w:p>
        </w:tc>
        <w:tc>
          <w:tcPr>
            <w:tcW w:w="1859" w:type="dxa"/>
            <w:gridSpan w:val="2"/>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经度：120°38'35″</w:t>
            </w:r>
          </w:p>
          <w:p>
            <w:pPr>
              <w:spacing w:line="240" w:lineRule="exact"/>
              <w:ind w:firstLine="0" w:firstLineChars="0"/>
              <w:rPr>
                <w:rFonts w:eastAsia="宋体" w:cs="Times New Roman"/>
                <w:sz w:val="15"/>
                <w:szCs w:val="15"/>
              </w:rPr>
            </w:pPr>
            <w:r>
              <w:rPr>
                <w:rFonts w:eastAsia="宋体" w:cs="Times New Roman"/>
                <w:sz w:val="15"/>
                <w:szCs w:val="15"/>
              </w:rPr>
              <w:t>纬度：30°40'3</w:t>
            </w:r>
            <w:r>
              <w:rPr>
                <w:rFonts w:hint="eastAsia" w:eastAsia="宋体" w:cs="Times New Roman"/>
                <w:sz w:val="15"/>
                <w:szCs w:val="15"/>
              </w:rPr>
              <w:t>6</w:t>
            </w:r>
            <w:r>
              <w:rPr>
                <w:rFonts w:eastAsia="宋体" w:cs="Times New Roman"/>
                <w:sz w:val="15"/>
                <w:szCs w:val="15"/>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设计生产能力</w:t>
            </w:r>
          </w:p>
        </w:tc>
        <w:tc>
          <w:tcPr>
            <w:tcW w:w="4871" w:type="dxa"/>
            <w:gridSpan w:val="6"/>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年产2000吨毛条</w:t>
            </w:r>
          </w:p>
        </w:tc>
        <w:tc>
          <w:tcPr>
            <w:tcW w:w="1939" w:type="dxa"/>
            <w:gridSpan w:val="2"/>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实际生产能力</w:t>
            </w:r>
          </w:p>
        </w:tc>
        <w:tc>
          <w:tcPr>
            <w:tcW w:w="2261" w:type="dxa"/>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sz w:val="15"/>
                <w:szCs w:val="15"/>
              </w:rPr>
              <w:t>年产</w:t>
            </w:r>
            <w:r>
              <w:rPr>
                <w:rFonts w:hint="eastAsia" w:eastAsia="宋体" w:cs="Times New Roman"/>
                <w:sz w:val="15"/>
                <w:szCs w:val="15"/>
              </w:rPr>
              <w:t>1800</w:t>
            </w:r>
            <w:r>
              <w:rPr>
                <w:rFonts w:eastAsia="宋体" w:cs="Times New Roman"/>
                <w:sz w:val="15"/>
                <w:szCs w:val="15"/>
              </w:rPr>
              <w:t>吨毛条</w:t>
            </w:r>
          </w:p>
        </w:tc>
        <w:tc>
          <w:tcPr>
            <w:tcW w:w="1675"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环评单位</w:t>
            </w:r>
          </w:p>
        </w:tc>
        <w:tc>
          <w:tcPr>
            <w:tcW w:w="2784"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浙江爱闻格环保科技有限公司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环评文件审批机关</w:t>
            </w:r>
          </w:p>
        </w:tc>
        <w:tc>
          <w:tcPr>
            <w:tcW w:w="4871" w:type="dxa"/>
            <w:gridSpan w:val="6"/>
            <w:tcMar>
              <w:left w:w="57" w:type="dxa"/>
              <w:right w:w="57" w:type="dxa"/>
            </w:tcMar>
            <w:vAlign w:val="center"/>
          </w:tcPr>
          <w:p>
            <w:pPr>
              <w:spacing w:line="240" w:lineRule="exact"/>
              <w:ind w:firstLine="0" w:firstLineChars="0"/>
              <w:rPr>
                <w:rFonts w:eastAsia="宋体" w:cs="Times New Roman"/>
                <w:sz w:val="15"/>
                <w:szCs w:val="15"/>
              </w:rPr>
            </w:pPr>
            <w:r>
              <w:rPr>
                <w:rFonts w:hint="eastAsia" w:eastAsia="宋体" w:cs="Times New Roman"/>
                <w:sz w:val="15"/>
                <w:szCs w:val="15"/>
              </w:rPr>
              <w:t>嘉兴市</w:t>
            </w:r>
            <w:r>
              <w:rPr>
                <w:rFonts w:eastAsia="宋体" w:cs="Times New Roman"/>
                <w:sz w:val="15"/>
                <w:szCs w:val="15"/>
              </w:rPr>
              <w:t>生态环境局</w:t>
            </w:r>
            <w:r>
              <w:rPr>
                <w:rFonts w:hint="eastAsia" w:eastAsia="宋体" w:cs="Times New Roman"/>
                <w:sz w:val="15"/>
                <w:szCs w:val="15"/>
              </w:rPr>
              <w:t>桐乡分局</w:t>
            </w:r>
          </w:p>
        </w:tc>
        <w:tc>
          <w:tcPr>
            <w:tcW w:w="1939"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审批文号</w:t>
            </w:r>
          </w:p>
        </w:tc>
        <w:tc>
          <w:tcPr>
            <w:tcW w:w="2261"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桐环建[2018]0138号</w:t>
            </w:r>
          </w:p>
        </w:tc>
        <w:tc>
          <w:tcPr>
            <w:tcW w:w="1675" w:type="dxa"/>
            <w:gridSpan w:val="3"/>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环评文件类型</w:t>
            </w:r>
          </w:p>
        </w:tc>
        <w:tc>
          <w:tcPr>
            <w:tcW w:w="2784" w:type="dxa"/>
            <w:gridSpan w:val="4"/>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Cs/>
                <w:sz w:val="15"/>
                <w:szCs w:val="15"/>
              </w:rPr>
              <w:t>环境影响报告表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开工日期</w:t>
            </w:r>
          </w:p>
        </w:tc>
        <w:tc>
          <w:tcPr>
            <w:tcW w:w="4871" w:type="dxa"/>
            <w:gridSpan w:val="6"/>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201</w:t>
            </w:r>
            <w:r>
              <w:rPr>
                <w:rFonts w:hint="eastAsia" w:eastAsia="宋体" w:cs="Times New Roman"/>
                <w:sz w:val="15"/>
                <w:szCs w:val="15"/>
              </w:rPr>
              <w:t>8</w:t>
            </w:r>
            <w:r>
              <w:rPr>
                <w:rFonts w:eastAsia="宋体" w:cs="Times New Roman"/>
                <w:sz w:val="15"/>
                <w:szCs w:val="15"/>
              </w:rPr>
              <w:t>年</w:t>
            </w:r>
            <w:r>
              <w:rPr>
                <w:rFonts w:hint="eastAsia" w:eastAsia="宋体" w:cs="Times New Roman"/>
                <w:sz w:val="15"/>
                <w:szCs w:val="15"/>
              </w:rPr>
              <w:t>10</w:t>
            </w:r>
            <w:r>
              <w:rPr>
                <w:rFonts w:eastAsia="宋体" w:cs="Times New Roman"/>
                <w:sz w:val="15"/>
                <w:szCs w:val="15"/>
              </w:rPr>
              <w:t>月</w:t>
            </w:r>
          </w:p>
        </w:tc>
        <w:tc>
          <w:tcPr>
            <w:tcW w:w="1939"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竣工日期</w:t>
            </w:r>
          </w:p>
        </w:tc>
        <w:tc>
          <w:tcPr>
            <w:tcW w:w="2261"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2021年6月</w:t>
            </w:r>
          </w:p>
        </w:tc>
        <w:tc>
          <w:tcPr>
            <w:tcW w:w="1675" w:type="dxa"/>
            <w:gridSpan w:val="3"/>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排污许可证申领时间</w:t>
            </w:r>
          </w:p>
        </w:tc>
        <w:tc>
          <w:tcPr>
            <w:tcW w:w="2784"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2020年8月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环保设施设计单位</w:t>
            </w:r>
          </w:p>
        </w:tc>
        <w:tc>
          <w:tcPr>
            <w:tcW w:w="4871" w:type="dxa"/>
            <w:gridSpan w:val="6"/>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w:t>
            </w:r>
          </w:p>
        </w:tc>
        <w:tc>
          <w:tcPr>
            <w:tcW w:w="1939"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环保设施施工单位</w:t>
            </w:r>
          </w:p>
        </w:tc>
        <w:tc>
          <w:tcPr>
            <w:tcW w:w="2261"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w:t>
            </w:r>
          </w:p>
        </w:tc>
        <w:tc>
          <w:tcPr>
            <w:tcW w:w="1675" w:type="dxa"/>
            <w:gridSpan w:val="3"/>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本工程排污许可证编号</w:t>
            </w:r>
          </w:p>
        </w:tc>
        <w:tc>
          <w:tcPr>
            <w:tcW w:w="2784"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913304837933644364001W</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验收单位</w:t>
            </w:r>
          </w:p>
        </w:tc>
        <w:tc>
          <w:tcPr>
            <w:tcW w:w="4871" w:type="dxa"/>
            <w:gridSpan w:val="6"/>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浙江允源毛纺股份有限公司</w:t>
            </w:r>
          </w:p>
        </w:tc>
        <w:tc>
          <w:tcPr>
            <w:tcW w:w="1939"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环保设施监测单位</w:t>
            </w:r>
          </w:p>
        </w:tc>
        <w:tc>
          <w:tcPr>
            <w:tcW w:w="2261"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浙江爱迪信检测技术有限公司</w:t>
            </w:r>
          </w:p>
        </w:tc>
        <w:tc>
          <w:tcPr>
            <w:tcW w:w="1675" w:type="dxa"/>
            <w:gridSpan w:val="3"/>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验收监测时工况</w:t>
            </w:r>
          </w:p>
        </w:tc>
        <w:tc>
          <w:tcPr>
            <w:tcW w:w="2784"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5"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投资总概算（万元）</w:t>
            </w:r>
          </w:p>
        </w:tc>
        <w:tc>
          <w:tcPr>
            <w:tcW w:w="4871" w:type="dxa"/>
            <w:gridSpan w:val="6"/>
            <w:tcMar>
              <w:left w:w="57" w:type="dxa"/>
              <w:right w:w="57" w:type="dxa"/>
            </w:tcMar>
            <w:vAlign w:val="center"/>
          </w:tcPr>
          <w:p>
            <w:pPr>
              <w:spacing w:line="240" w:lineRule="exact"/>
              <w:ind w:firstLine="0" w:firstLineChars="0"/>
              <w:rPr>
                <w:rFonts w:eastAsia="宋体" w:cs="Times New Roman"/>
                <w:bCs/>
                <w:sz w:val="15"/>
                <w:szCs w:val="15"/>
              </w:rPr>
            </w:pPr>
            <w:r>
              <w:rPr>
                <w:rFonts w:eastAsia="宋体" w:cs="Times New Roman"/>
                <w:bCs/>
                <w:sz w:val="15"/>
                <w:szCs w:val="15"/>
              </w:rPr>
              <w:t>4971.8</w:t>
            </w:r>
          </w:p>
        </w:tc>
        <w:tc>
          <w:tcPr>
            <w:tcW w:w="1939" w:type="dxa"/>
            <w:gridSpan w:val="2"/>
            <w:tcMar>
              <w:left w:w="57" w:type="dxa"/>
              <w:right w:w="57" w:type="dxa"/>
            </w:tcMar>
            <w:vAlign w:val="center"/>
          </w:tcPr>
          <w:p>
            <w:pPr>
              <w:tabs>
                <w:tab w:val="left" w:pos="690"/>
              </w:tabs>
              <w:spacing w:line="240" w:lineRule="exact"/>
              <w:ind w:firstLine="0" w:firstLineChars="0"/>
              <w:rPr>
                <w:rFonts w:eastAsia="宋体" w:cs="Times New Roman"/>
                <w:sz w:val="15"/>
                <w:szCs w:val="15"/>
              </w:rPr>
            </w:pPr>
            <w:r>
              <w:rPr>
                <w:rFonts w:eastAsia="宋体" w:cs="Times New Roman"/>
                <w:b/>
                <w:sz w:val="15"/>
                <w:szCs w:val="15"/>
              </w:rPr>
              <w:t>环保投资总概算（万元）</w:t>
            </w:r>
          </w:p>
        </w:tc>
        <w:tc>
          <w:tcPr>
            <w:tcW w:w="2261"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25</w:t>
            </w:r>
          </w:p>
        </w:tc>
        <w:tc>
          <w:tcPr>
            <w:tcW w:w="1675" w:type="dxa"/>
            <w:gridSpan w:val="3"/>
            <w:tcMar>
              <w:left w:w="57" w:type="dxa"/>
              <w:right w:w="57" w:type="dxa"/>
            </w:tcMar>
            <w:vAlign w:val="center"/>
          </w:tcPr>
          <w:p>
            <w:pPr>
              <w:tabs>
                <w:tab w:val="left" w:pos="690"/>
              </w:tabs>
              <w:spacing w:line="240" w:lineRule="exact"/>
              <w:ind w:firstLine="0" w:firstLineChars="0"/>
              <w:rPr>
                <w:rFonts w:eastAsia="宋体" w:cs="Times New Roman"/>
                <w:sz w:val="15"/>
                <w:szCs w:val="15"/>
              </w:rPr>
            </w:pPr>
            <w:r>
              <w:rPr>
                <w:rFonts w:eastAsia="宋体" w:cs="Times New Roman"/>
                <w:b/>
                <w:sz w:val="15"/>
                <w:szCs w:val="15"/>
              </w:rPr>
              <w:t>所占比例（%）</w:t>
            </w:r>
          </w:p>
        </w:tc>
        <w:tc>
          <w:tcPr>
            <w:tcW w:w="2784" w:type="dxa"/>
            <w:gridSpan w:val="4"/>
            <w:tcMar>
              <w:left w:w="57" w:type="dxa"/>
              <w:right w:w="57" w:type="dxa"/>
            </w:tcMar>
            <w:vAlign w:val="center"/>
          </w:tcPr>
          <w:p>
            <w:pPr>
              <w:tabs>
                <w:tab w:val="left" w:pos="690"/>
              </w:tabs>
              <w:spacing w:line="240" w:lineRule="exact"/>
              <w:ind w:firstLine="0" w:firstLineChars="0"/>
              <w:rPr>
                <w:rFonts w:eastAsia="宋体" w:cs="Times New Roman"/>
                <w:sz w:val="15"/>
                <w:szCs w:val="15"/>
              </w:rPr>
            </w:pPr>
            <w:r>
              <w:rPr>
                <w:rFonts w:eastAsia="宋体" w:cs="Times New Roman"/>
                <w:sz w:val="15"/>
                <w:szCs w:val="15"/>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实际总投资（万元）</w:t>
            </w:r>
          </w:p>
        </w:tc>
        <w:tc>
          <w:tcPr>
            <w:tcW w:w="4871" w:type="dxa"/>
            <w:gridSpan w:val="6"/>
            <w:tcMar>
              <w:left w:w="57" w:type="dxa"/>
              <w:right w:w="57" w:type="dxa"/>
            </w:tcMar>
          </w:tcPr>
          <w:p>
            <w:pPr>
              <w:spacing w:line="240" w:lineRule="exact"/>
              <w:ind w:firstLine="0" w:firstLineChars="0"/>
              <w:rPr>
                <w:rFonts w:eastAsia="宋体" w:cs="Times New Roman"/>
                <w:bCs/>
                <w:sz w:val="15"/>
                <w:szCs w:val="15"/>
              </w:rPr>
            </w:pPr>
            <w:r>
              <w:rPr>
                <w:rFonts w:hint="eastAsia" w:eastAsia="宋体" w:cs="Times New Roman"/>
                <w:bCs/>
                <w:sz w:val="15"/>
                <w:szCs w:val="15"/>
              </w:rPr>
              <w:t>4860</w:t>
            </w:r>
          </w:p>
        </w:tc>
        <w:tc>
          <w:tcPr>
            <w:tcW w:w="1939"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实际环保投资（万元）</w:t>
            </w:r>
          </w:p>
        </w:tc>
        <w:tc>
          <w:tcPr>
            <w:tcW w:w="2261" w:type="dxa"/>
            <w:tcMar>
              <w:left w:w="57" w:type="dxa"/>
              <w:right w:w="57" w:type="dxa"/>
            </w:tcMar>
          </w:tcPr>
          <w:p>
            <w:pPr>
              <w:spacing w:line="240" w:lineRule="exact"/>
              <w:ind w:firstLine="0" w:firstLineChars="0"/>
              <w:rPr>
                <w:rFonts w:eastAsia="宋体" w:cs="Times New Roman"/>
                <w:sz w:val="15"/>
                <w:szCs w:val="15"/>
              </w:rPr>
            </w:pPr>
            <w:r>
              <w:rPr>
                <w:rFonts w:hint="eastAsia" w:eastAsia="宋体" w:cs="Times New Roman"/>
                <w:sz w:val="15"/>
                <w:szCs w:val="15"/>
              </w:rPr>
              <w:t>25</w:t>
            </w:r>
          </w:p>
        </w:tc>
        <w:tc>
          <w:tcPr>
            <w:tcW w:w="1675" w:type="dxa"/>
            <w:gridSpan w:val="3"/>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所占比例（%）</w:t>
            </w:r>
          </w:p>
        </w:tc>
        <w:tc>
          <w:tcPr>
            <w:tcW w:w="2784"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0.</w:t>
            </w:r>
            <w:r>
              <w:rPr>
                <w:rFonts w:hint="eastAsia" w:eastAsia="宋体" w:cs="Times New Roman"/>
                <w:sz w:val="15"/>
                <w:szCs w:val="15"/>
              </w:rPr>
              <w:t>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废水治理（万元）</w:t>
            </w:r>
          </w:p>
        </w:tc>
        <w:tc>
          <w:tcPr>
            <w:tcW w:w="828" w:type="dxa"/>
            <w:tcMar>
              <w:left w:w="57" w:type="dxa"/>
              <w:right w:w="57" w:type="dxa"/>
            </w:tcMar>
            <w:vAlign w:val="center"/>
          </w:tcPr>
          <w:p>
            <w:pPr>
              <w:spacing w:line="240" w:lineRule="exact"/>
              <w:ind w:firstLine="0" w:firstLineChars="0"/>
              <w:rPr>
                <w:rFonts w:eastAsia="宋体" w:cs="Times New Roman"/>
                <w:sz w:val="15"/>
                <w:szCs w:val="15"/>
              </w:rPr>
            </w:pPr>
            <w:r>
              <w:rPr>
                <w:rFonts w:hint="eastAsia" w:eastAsia="宋体" w:cs="Times New Roman"/>
                <w:sz w:val="15"/>
                <w:szCs w:val="15"/>
              </w:rPr>
              <w:t>10</w:t>
            </w:r>
          </w:p>
        </w:tc>
        <w:tc>
          <w:tcPr>
            <w:tcW w:w="879" w:type="dxa"/>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废气治理（万元）</w:t>
            </w:r>
          </w:p>
        </w:tc>
        <w:tc>
          <w:tcPr>
            <w:tcW w:w="851" w:type="dxa"/>
            <w:tcMar>
              <w:left w:w="57" w:type="dxa"/>
              <w:right w:w="57" w:type="dxa"/>
            </w:tcMar>
            <w:vAlign w:val="center"/>
          </w:tcPr>
          <w:p>
            <w:pPr>
              <w:spacing w:line="240" w:lineRule="exact"/>
              <w:ind w:firstLine="0" w:firstLineChars="0"/>
              <w:rPr>
                <w:rFonts w:eastAsia="宋体" w:cs="Times New Roman"/>
                <w:sz w:val="15"/>
                <w:szCs w:val="15"/>
              </w:rPr>
            </w:pPr>
            <w:r>
              <w:rPr>
                <w:rFonts w:hint="eastAsia" w:eastAsia="宋体" w:cs="Times New Roman"/>
                <w:sz w:val="15"/>
                <w:szCs w:val="15"/>
              </w:rPr>
              <w:t>8</w:t>
            </w:r>
          </w:p>
        </w:tc>
        <w:tc>
          <w:tcPr>
            <w:tcW w:w="1275"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噪声治理（万元）</w:t>
            </w:r>
          </w:p>
        </w:tc>
        <w:tc>
          <w:tcPr>
            <w:tcW w:w="1038"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5</w:t>
            </w:r>
          </w:p>
        </w:tc>
        <w:tc>
          <w:tcPr>
            <w:tcW w:w="1939" w:type="dxa"/>
            <w:gridSpan w:val="2"/>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固体废物治理（万元）</w:t>
            </w:r>
          </w:p>
        </w:tc>
        <w:tc>
          <w:tcPr>
            <w:tcW w:w="2261"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2</w:t>
            </w:r>
          </w:p>
        </w:tc>
        <w:tc>
          <w:tcPr>
            <w:tcW w:w="1675" w:type="dxa"/>
            <w:gridSpan w:val="3"/>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绿化及生态（万元）</w:t>
            </w:r>
          </w:p>
        </w:tc>
        <w:tc>
          <w:tcPr>
            <w:tcW w:w="429"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0</w:t>
            </w:r>
          </w:p>
        </w:tc>
        <w:tc>
          <w:tcPr>
            <w:tcW w:w="1032"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其他（万元）</w:t>
            </w:r>
          </w:p>
        </w:tc>
        <w:tc>
          <w:tcPr>
            <w:tcW w:w="1323"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964"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新增废水处理设施能力</w:t>
            </w:r>
          </w:p>
        </w:tc>
        <w:tc>
          <w:tcPr>
            <w:tcW w:w="4871" w:type="dxa"/>
            <w:gridSpan w:val="6"/>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w:t>
            </w:r>
          </w:p>
        </w:tc>
        <w:tc>
          <w:tcPr>
            <w:tcW w:w="1939" w:type="dxa"/>
            <w:gridSpan w:val="2"/>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新增废气处理设施能力</w:t>
            </w:r>
          </w:p>
        </w:tc>
        <w:tc>
          <w:tcPr>
            <w:tcW w:w="2261" w:type="dxa"/>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w:t>
            </w:r>
          </w:p>
        </w:tc>
        <w:tc>
          <w:tcPr>
            <w:tcW w:w="1675" w:type="dxa"/>
            <w:gridSpan w:val="3"/>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年平均工作时间</w:t>
            </w:r>
          </w:p>
        </w:tc>
        <w:tc>
          <w:tcPr>
            <w:tcW w:w="2784"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7200h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394" w:type="dxa"/>
            <w:gridSpan w:val="4"/>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运营单位</w:t>
            </w:r>
          </w:p>
        </w:tc>
        <w:tc>
          <w:tcPr>
            <w:tcW w:w="3408"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浙江允源毛纺股份有限公司</w:t>
            </w:r>
          </w:p>
        </w:tc>
        <w:tc>
          <w:tcPr>
            <w:tcW w:w="3402"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运营单位社会统一信用代码（或组织机构代码）</w:t>
            </w:r>
          </w:p>
        </w:tc>
        <w:tc>
          <w:tcPr>
            <w:tcW w:w="2261" w:type="dxa"/>
            <w:tcMar>
              <w:left w:w="57" w:type="dxa"/>
              <w:right w:w="57" w:type="dxa"/>
            </w:tcMar>
            <w:vAlign w:val="center"/>
          </w:tcPr>
          <w:p>
            <w:pPr>
              <w:spacing w:line="240" w:lineRule="exact"/>
              <w:ind w:firstLine="0" w:firstLineChars="0"/>
              <w:rPr>
                <w:rFonts w:eastAsia="宋体" w:cs="Times New Roman"/>
                <w:b/>
                <w:sz w:val="15"/>
                <w:szCs w:val="15"/>
              </w:rPr>
            </w:pPr>
            <w:r>
              <w:rPr>
                <w:rFonts w:hint="eastAsia" w:eastAsia="宋体" w:cs="Times New Roman"/>
                <w:bCs/>
                <w:sz w:val="15"/>
                <w:szCs w:val="15"/>
              </w:rPr>
              <w:t>913304837933644364</w:t>
            </w:r>
          </w:p>
        </w:tc>
        <w:tc>
          <w:tcPr>
            <w:tcW w:w="1675" w:type="dxa"/>
            <w:gridSpan w:val="3"/>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验收时间</w:t>
            </w:r>
          </w:p>
        </w:tc>
        <w:tc>
          <w:tcPr>
            <w:tcW w:w="2784" w:type="dxa"/>
            <w:gridSpan w:val="4"/>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sz w:val="15"/>
                <w:szCs w:val="15"/>
              </w:rPr>
              <w:t>2021年11月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restart"/>
            <w:tcMar>
              <w:left w:w="57" w:type="dxa"/>
              <w:right w:w="57" w:type="dxa"/>
            </w:tcMar>
            <w:vAlign w:val="center"/>
          </w:tcPr>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污染</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物排</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放达</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标与</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总量</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控制</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（工</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业建</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设项</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目详</w:t>
            </w:r>
          </w:p>
          <w:p>
            <w:pPr>
              <w:spacing w:line="240" w:lineRule="exact"/>
              <w:ind w:firstLine="0" w:firstLineChars="0"/>
              <w:jc w:val="center"/>
              <w:rPr>
                <w:rFonts w:eastAsia="宋体" w:cs="Times New Roman"/>
                <w:b/>
                <w:spacing w:val="20"/>
                <w:sz w:val="15"/>
                <w:szCs w:val="15"/>
              </w:rPr>
            </w:pPr>
            <w:r>
              <w:rPr>
                <w:rFonts w:eastAsia="宋体" w:cs="Times New Roman"/>
                <w:b/>
                <w:spacing w:val="20"/>
                <w:sz w:val="15"/>
                <w:szCs w:val="15"/>
              </w:rPr>
              <w:t>填）</w:t>
            </w:r>
          </w:p>
        </w:tc>
        <w:tc>
          <w:tcPr>
            <w:tcW w:w="1796" w:type="dxa"/>
            <w:gridSpan w:val="2"/>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污染物</w:t>
            </w:r>
          </w:p>
        </w:tc>
        <w:tc>
          <w:tcPr>
            <w:tcW w:w="828" w:type="dxa"/>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原有排</w:t>
            </w:r>
          </w:p>
          <w:p>
            <w:pPr>
              <w:spacing w:line="240" w:lineRule="exact"/>
              <w:ind w:firstLine="0" w:firstLineChars="0"/>
              <w:jc w:val="center"/>
              <w:rPr>
                <w:rFonts w:eastAsia="宋体" w:cs="Times New Roman"/>
                <w:b/>
                <w:sz w:val="15"/>
                <w:szCs w:val="15"/>
              </w:rPr>
            </w:pPr>
            <w:r>
              <w:rPr>
                <w:rFonts w:eastAsia="宋体" w:cs="Times New Roman"/>
                <w:b/>
                <w:sz w:val="15"/>
                <w:szCs w:val="15"/>
              </w:rPr>
              <w:t>放量(1)</w:t>
            </w:r>
          </w:p>
        </w:tc>
        <w:tc>
          <w:tcPr>
            <w:tcW w:w="879" w:type="dxa"/>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本期工程实际排放浓度(2)</w:t>
            </w:r>
          </w:p>
        </w:tc>
        <w:tc>
          <w:tcPr>
            <w:tcW w:w="851" w:type="dxa"/>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本期工程允许排放浓度(3)</w:t>
            </w:r>
          </w:p>
        </w:tc>
        <w:tc>
          <w:tcPr>
            <w:tcW w:w="850" w:type="dxa"/>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本期工程产生量(4)</w:t>
            </w:r>
          </w:p>
        </w:tc>
        <w:tc>
          <w:tcPr>
            <w:tcW w:w="1463" w:type="dxa"/>
            <w:gridSpan w:val="2"/>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本期工程自身削减量(5)</w:t>
            </w:r>
          </w:p>
        </w:tc>
        <w:tc>
          <w:tcPr>
            <w:tcW w:w="1005" w:type="dxa"/>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本期工程实际排放量(6)</w:t>
            </w:r>
          </w:p>
        </w:tc>
        <w:tc>
          <w:tcPr>
            <w:tcW w:w="934" w:type="dxa"/>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本期工程核定排放总量(7)</w:t>
            </w:r>
          </w:p>
        </w:tc>
        <w:tc>
          <w:tcPr>
            <w:tcW w:w="2261" w:type="dxa"/>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本期工程“以新带老”削减量(8)</w:t>
            </w:r>
          </w:p>
        </w:tc>
        <w:tc>
          <w:tcPr>
            <w:tcW w:w="1041" w:type="dxa"/>
            <w:gridSpan w:val="2"/>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全厂实际排放总量(9)</w:t>
            </w:r>
          </w:p>
        </w:tc>
        <w:tc>
          <w:tcPr>
            <w:tcW w:w="1063" w:type="dxa"/>
            <w:gridSpan w:val="2"/>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全厂核定排放总量(10)</w:t>
            </w:r>
          </w:p>
        </w:tc>
        <w:tc>
          <w:tcPr>
            <w:tcW w:w="1032" w:type="dxa"/>
            <w:gridSpan w:val="2"/>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区域平衡替代削减量(11)</w:t>
            </w:r>
          </w:p>
        </w:tc>
        <w:tc>
          <w:tcPr>
            <w:tcW w:w="1323" w:type="dxa"/>
            <w:tcMar>
              <w:left w:w="57" w:type="dxa"/>
              <w:right w:w="57" w:type="dxa"/>
            </w:tcMar>
            <w:vAlign w:val="center"/>
          </w:tcPr>
          <w:p>
            <w:pPr>
              <w:spacing w:line="240" w:lineRule="exact"/>
              <w:ind w:firstLine="0" w:firstLineChars="0"/>
              <w:jc w:val="center"/>
              <w:rPr>
                <w:rFonts w:eastAsia="宋体" w:cs="Times New Roman"/>
                <w:b/>
                <w:sz w:val="15"/>
                <w:szCs w:val="15"/>
              </w:rPr>
            </w:pPr>
            <w:r>
              <w:rPr>
                <w:rFonts w:eastAsia="宋体" w:cs="Times New Roman"/>
                <w:b/>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98" w:type="dxa"/>
            <w:gridSpan w:val="2"/>
            <w:vMerge w:val="continue"/>
            <w:tcMar>
              <w:left w:w="57" w:type="dxa"/>
              <w:right w:w="57" w:type="dxa"/>
            </w:tcMar>
            <w:vAlign w:val="cente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sz w:val="15"/>
                <w:szCs w:val="15"/>
              </w:rPr>
            </w:pPr>
            <w:r>
              <w:rPr>
                <w:rFonts w:eastAsia="宋体" w:cs="Times New Roman"/>
                <w:b/>
                <w:sz w:val="15"/>
                <w:szCs w:val="15"/>
              </w:rPr>
              <w:t>废水</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w:t>
            </w:r>
            <w:r>
              <w:rPr>
                <w:rFonts w:hint="eastAsia" w:eastAsia="宋体" w:cs="Times New Roman"/>
                <w:sz w:val="15"/>
                <w:szCs w:val="15"/>
              </w:rPr>
              <w:t>0943</w:t>
            </w: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0.270</w:t>
            </w: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w:t>
            </w:r>
            <w:r>
              <w:rPr>
                <w:rFonts w:hint="eastAsia" w:eastAsia="宋体" w:cs="Times New Roman"/>
                <w:sz w:val="15"/>
                <w:szCs w:val="15"/>
              </w:rPr>
              <w:t>0943</w:t>
            </w: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0.270</w:t>
            </w: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化学需氧量</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w:t>
            </w:r>
            <w:r>
              <w:rPr>
                <w:rFonts w:hint="eastAsia" w:eastAsia="宋体" w:cs="Times New Roman"/>
                <w:sz w:val="15"/>
                <w:szCs w:val="15"/>
              </w:rPr>
              <w:t>047</w:t>
            </w: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0.135</w:t>
            </w: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w:t>
            </w:r>
            <w:r>
              <w:rPr>
                <w:rFonts w:hint="eastAsia" w:eastAsia="宋体" w:cs="Times New Roman"/>
                <w:sz w:val="15"/>
                <w:szCs w:val="15"/>
              </w:rPr>
              <w:t>047</w:t>
            </w: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0.135</w:t>
            </w: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氨氮</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0.0</w:t>
            </w:r>
            <w:r>
              <w:rPr>
                <w:rFonts w:hint="eastAsia" w:eastAsia="宋体" w:cs="Times New Roman"/>
                <w:sz w:val="15"/>
                <w:szCs w:val="15"/>
              </w:rPr>
              <w:t>05</w:t>
            </w: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0.014</w:t>
            </w: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0.0</w:t>
            </w:r>
            <w:r>
              <w:rPr>
                <w:rFonts w:hint="eastAsia" w:eastAsia="宋体" w:cs="Times New Roman"/>
                <w:sz w:val="15"/>
                <w:szCs w:val="15"/>
              </w:rPr>
              <w:t>05</w:t>
            </w: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r>
              <w:rPr>
                <w:rFonts w:eastAsia="宋体" w:cs="Times New Roman"/>
                <w:sz w:val="15"/>
                <w:szCs w:val="15"/>
              </w:rPr>
              <w:t>0.014</w:t>
            </w: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石油类</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废气</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二氧化硫</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烟尘</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工业粉尘</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r>
              <w:rPr>
                <w:rFonts w:hint="eastAsia" w:eastAsia="宋体" w:cs="Times New Roman"/>
                <w:sz w:val="15"/>
                <w:szCs w:val="15"/>
              </w:rPr>
              <w:t>0.072</w:t>
            </w: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r>
              <w:rPr>
                <w:rFonts w:hint="eastAsia" w:eastAsia="宋体" w:cs="Times New Roman"/>
                <w:sz w:val="15"/>
                <w:szCs w:val="15"/>
              </w:rPr>
              <w:t>0.628</w:t>
            </w: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r>
              <w:rPr>
                <w:rFonts w:hint="eastAsia" w:eastAsia="宋体" w:cs="Times New Roman"/>
                <w:sz w:val="15"/>
                <w:szCs w:val="15"/>
              </w:rPr>
              <w:t>0.072</w:t>
            </w: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r>
              <w:rPr>
                <w:rFonts w:hint="eastAsia" w:eastAsia="宋体" w:cs="Times New Roman"/>
                <w:sz w:val="15"/>
                <w:szCs w:val="15"/>
              </w:rPr>
              <w:t>0.628</w:t>
            </w: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氮氧化物</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796" w:type="dxa"/>
            <w:gridSpan w:val="2"/>
            <w:tcMar>
              <w:left w:w="57" w:type="dxa"/>
              <w:right w:w="57" w:type="dxa"/>
            </w:tcMar>
            <w:vAlign w:val="center"/>
          </w:tcPr>
          <w:p>
            <w:pPr>
              <w:spacing w:line="240" w:lineRule="exact"/>
              <w:ind w:firstLine="0" w:firstLineChars="0"/>
              <w:rPr>
                <w:rFonts w:eastAsia="宋体" w:cs="Times New Roman"/>
                <w:b/>
                <w:sz w:val="15"/>
                <w:szCs w:val="15"/>
              </w:rPr>
            </w:pPr>
            <w:r>
              <w:rPr>
                <w:rFonts w:eastAsia="宋体" w:cs="Times New Roman"/>
                <w:b/>
                <w:sz w:val="15"/>
                <w:szCs w:val="15"/>
              </w:rPr>
              <w:t>工业固体废物</w:t>
            </w: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178" w:type="dxa"/>
            <w:vMerge w:val="restart"/>
            <w:tcMar>
              <w:left w:w="57" w:type="dxa"/>
              <w:right w:w="57" w:type="dxa"/>
            </w:tcMar>
          </w:tcPr>
          <w:p>
            <w:pPr>
              <w:spacing w:line="240" w:lineRule="exact"/>
              <w:ind w:firstLine="0" w:firstLineChars="0"/>
              <w:rPr>
                <w:rFonts w:eastAsia="宋体" w:cs="Times New Roman"/>
                <w:sz w:val="15"/>
                <w:szCs w:val="15"/>
              </w:rPr>
            </w:pPr>
            <w:r>
              <w:rPr>
                <w:rFonts w:eastAsia="宋体" w:cs="Times New Roman"/>
                <w:b/>
                <w:sz w:val="15"/>
                <w:szCs w:val="15"/>
              </w:rPr>
              <w:t>与项目有关的其他特征污染物</w:t>
            </w:r>
          </w:p>
        </w:tc>
        <w:tc>
          <w:tcPr>
            <w:tcW w:w="618" w:type="dxa"/>
            <w:tcMar>
              <w:left w:w="57" w:type="dxa"/>
              <w:right w:w="57" w:type="dxa"/>
            </w:tcMar>
            <w:vAlign w:val="center"/>
          </w:tcPr>
          <w:p>
            <w:pPr>
              <w:spacing w:line="240" w:lineRule="exact"/>
              <w:ind w:firstLine="0" w:firstLineChars="0"/>
              <w:rPr>
                <w:rFonts w:eastAsia="宋体" w:cs="Times New Roman"/>
                <w:sz w:val="15"/>
                <w:szCs w:val="15"/>
              </w:rPr>
            </w:pP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pPr>
              <w:spacing w:line="240" w:lineRule="exact"/>
              <w:ind w:firstLine="0" w:firstLineChars="0"/>
              <w:rPr>
                <w:rFonts w:eastAsia="宋体" w:cs="Times New Roman"/>
                <w:sz w:val="15"/>
                <w:szCs w:val="15"/>
              </w:rPr>
            </w:pPr>
          </w:p>
        </w:tc>
        <w:tc>
          <w:tcPr>
            <w:tcW w:w="1178" w:type="dxa"/>
            <w:vMerge w:val="continue"/>
            <w:tcMar>
              <w:left w:w="57" w:type="dxa"/>
              <w:right w:w="57" w:type="dxa"/>
            </w:tcMar>
          </w:tcPr>
          <w:p>
            <w:pPr>
              <w:spacing w:line="240" w:lineRule="exact"/>
              <w:ind w:firstLine="0" w:firstLineChars="0"/>
              <w:rPr>
                <w:rFonts w:eastAsia="宋体" w:cs="Times New Roman"/>
                <w:b/>
                <w:sz w:val="15"/>
                <w:szCs w:val="15"/>
              </w:rPr>
            </w:pPr>
          </w:p>
        </w:tc>
        <w:tc>
          <w:tcPr>
            <w:tcW w:w="618" w:type="dxa"/>
            <w:tcMar>
              <w:left w:w="57" w:type="dxa"/>
              <w:right w:w="57" w:type="dxa"/>
            </w:tcMar>
            <w:vAlign w:val="center"/>
          </w:tcPr>
          <w:p>
            <w:pPr>
              <w:spacing w:line="240" w:lineRule="exact"/>
              <w:ind w:firstLine="0" w:firstLineChars="0"/>
              <w:rPr>
                <w:rFonts w:eastAsia="宋体" w:cs="Times New Roman"/>
                <w:sz w:val="15"/>
                <w:szCs w:val="15"/>
              </w:rPr>
            </w:pPr>
          </w:p>
        </w:tc>
        <w:tc>
          <w:tcPr>
            <w:tcW w:w="828"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79"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850"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4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05"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934"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2261" w:type="dxa"/>
            <w:tcMar>
              <w:left w:w="57" w:type="dxa"/>
              <w:right w:w="57" w:type="dxa"/>
            </w:tcMar>
            <w:vAlign w:val="center"/>
          </w:tcPr>
          <w:p>
            <w:pPr>
              <w:spacing w:line="240" w:lineRule="exact"/>
              <w:ind w:firstLine="0" w:firstLineChars="0"/>
              <w:jc w:val="center"/>
              <w:rPr>
                <w:rFonts w:eastAsia="宋体" w:cs="Times New Roman"/>
                <w:sz w:val="15"/>
                <w:szCs w:val="15"/>
              </w:rPr>
            </w:pPr>
          </w:p>
        </w:tc>
        <w:tc>
          <w:tcPr>
            <w:tcW w:w="1041"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63"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032" w:type="dxa"/>
            <w:gridSpan w:val="2"/>
            <w:tcMar>
              <w:left w:w="57" w:type="dxa"/>
              <w:right w:w="57" w:type="dxa"/>
            </w:tcMar>
            <w:vAlign w:val="center"/>
          </w:tcPr>
          <w:p>
            <w:pPr>
              <w:spacing w:line="240" w:lineRule="exact"/>
              <w:ind w:firstLine="0" w:firstLineChars="0"/>
              <w:jc w:val="center"/>
              <w:rPr>
                <w:rFonts w:eastAsia="宋体" w:cs="Times New Roman"/>
                <w:sz w:val="15"/>
                <w:szCs w:val="15"/>
              </w:rPr>
            </w:pPr>
          </w:p>
        </w:tc>
        <w:tc>
          <w:tcPr>
            <w:tcW w:w="1323" w:type="dxa"/>
            <w:tcMar>
              <w:left w:w="57" w:type="dxa"/>
              <w:right w:w="57" w:type="dxa"/>
            </w:tcMar>
            <w:vAlign w:val="center"/>
          </w:tcPr>
          <w:p>
            <w:pPr>
              <w:spacing w:line="240" w:lineRule="exact"/>
              <w:ind w:firstLine="0" w:firstLineChars="0"/>
              <w:jc w:val="center"/>
              <w:rPr>
                <w:rFonts w:eastAsia="宋体" w:cs="Times New Roman"/>
                <w:sz w:val="15"/>
                <w:szCs w:val="15"/>
              </w:rPr>
            </w:pPr>
          </w:p>
        </w:tc>
      </w:tr>
    </w:tbl>
    <w:p>
      <w:pPr>
        <w:spacing w:line="240" w:lineRule="exact"/>
        <w:ind w:firstLine="0" w:firstLineChars="0"/>
        <w:jc w:val="left"/>
        <w:rPr>
          <w:rFonts w:eastAsia="宋体" w:cs="Times New Roman"/>
          <w:sz w:val="15"/>
          <w:szCs w:val="15"/>
        </w:rPr>
        <w:sectPr>
          <w:pgSz w:w="16838" w:h="11906" w:orient="landscape"/>
          <w:pgMar w:top="1418" w:right="1701" w:bottom="1021" w:left="1701" w:header="851" w:footer="567" w:gutter="0"/>
          <w:pgNumType w:fmt="numberInDash"/>
          <w:cols w:space="0" w:num="1"/>
          <w:docGrid w:type="lines" w:linePitch="318" w:charSpace="0"/>
        </w:sectPr>
      </w:pPr>
      <w:r>
        <w:rPr>
          <w:rFonts w:eastAsia="宋体" w:cs="Times New Roman"/>
          <w:b/>
          <w:sz w:val="15"/>
          <w:szCs w:val="15"/>
        </w:rPr>
        <w:t>注</w:t>
      </w:r>
      <w:r>
        <w:rPr>
          <w:rFonts w:eastAsia="宋体" w:cs="Times New Roman"/>
          <w:sz w:val="15"/>
          <w:szCs w:val="15"/>
        </w:rPr>
        <w:t>：1、</w:t>
      </w:r>
      <w:r>
        <w:rPr>
          <w:rFonts w:eastAsia="宋体" w:cs="Times New Roman"/>
          <w:spacing w:val="-4"/>
          <w:sz w:val="15"/>
          <w:szCs w:val="15"/>
        </w:rPr>
        <w:t>排放增减量：（+）表示增加，（-）表示减少。2、(12)=(6)-(8)-(11)，（9）= (4)-(5)-(8)- (11) +（1）。3、计量单位：废水排放量——万吨/年；废气排放量——万标立方米/年；工业固体废物排放</w:t>
      </w:r>
      <w:r>
        <w:rPr>
          <w:rFonts w:eastAsia="宋体" w:cs="Times New Roman"/>
          <w:sz w:val="15"/>
          <w:szCs w:val="15"/>
        </w:rPr>
        <w:t>量——万吨/年；水污染物排放浓度——毫克/升</w:t>
      </w:r>
    </w:p>
    <w:p>
      <w:pPr>
        <w:pStyle w:val="4"/>
        <w:rPr>
          <w:rFonts w:cs="Times New Roman"/>
        </w:rPr>
      </w:pPr>
      <w:r>
        <w:rPr>
          <w:rFonts w:cs="Times New Roman"/>
        </w:rPr>
        <w:t>附件</w:t>
      </w:r>
    </w:p>
    <w:p>
      <w:pPr>
        <w:pStyle w:val="5"/>
        <w:rPr>
          <w:rFonts w:cs="Times New Roman"/>
        </w:rPr>
      </w:pPr>
      <w:r>
        <w:rPr>
          <w:rFonts w:cs="Times New Roman"/>
        </w:rPr>
        <w:t>附件1营业执照及变更登记情况</w:t>
      </w:r>
    </w:p>
    <w:p>
      <w:pPr>
        <w:ind w:firstLine="480"/>
        <w:rPr>
          <w:rFonts w:eastAsia="宋体" w:cs="Times New Roman"/>
        </w:rPr>
      </w:pPr>
      <w:r>
        <w:rPr>
          <w:rFonts w:hint="eastAsia" w:eastAsia="宋体" w:cs="Times New Roman"/>
        </w:rPr>
        <w:drawing>
          <wp:inline distT="0" distB="0" distL="114300" distR="114300">
            <wp:extent cx="4500880" cy="7927340"/>
            <wp:effectExtent l="0" t="0" r="13970" b="16510"/>
            <wp:docPr id="24" name="图片 24" descr="aae5979d77a61b7ebe000cd18963a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aae5979d77a61b7ebe000cd18963a0d"/>
                    <pic:cNvPicPr>
                      <a:picLocks noChangeAspect="1"/>
                    </pic:cNvPicPr>
                  </pic:nvPicPr>
                  <pic:blipFill>
                    <a:blip r:embed="rId35"/>
                    <a:stretch>
                      <a:fillRect/>
                    </a:stretch>
                  </pic:blipFill>
                  <pic:spPr>
                    <a:xfrm>
                      <a:off x="0" y="0"/>
                      <a:ext cx="4500880" cy="7927340"/>
                    </a:xfrm>
                    <a:prstGeom prst="rect">
                      <a:avLst/>
                    </a:prstGeom>
                  </pic:spPr>
                </pic:pic>
              </a:graphicData>
            </a:graphic>
          </wp:inline>
        </w:drawing>
      </w:r>
    </w:p>
    <w:p>
      <w:pPr>
        <w:pStyle w:val="2"/>
        <w:ind w:left="0" w:leftChars="0" w:firstLine="0" w:firstLineChars="0"/>
        <w:rPr>
          <w:rFonts w:eastAsia="宋体" w:cs="Times New Roman"/>
          <w:b/>
          <w:bCs/>
        </w:rPr>
        <w:sectPr>
          <w:footerReference r:id="rId26" w:type="default"/>
          <w:pgSz w:w="11906" w:h="16838"/>
          <w:pgMar w:top="1418" w:right="1701" w:bottom="1418" w:left="1701" w:header="851" w:footer="992" w:gutter="0"/>
          <w:pgNumType w:fmt="numberInDash"/>
          <w:cols w:space="0" w:num="1"/>
          <w:docGrid w:type="lines" w:linePitch="332" w:charSpace="0"/>
        </w:sectPr>
      </w:pPr>
    </w:p>
    <w:p>
      <w:pPr>
        <w:ind w:firstLine="480"/>
      </w:pPr>
      <w:r>
        <w:rPr>
          <w:rFonts w:hint="eastAsia"/>
        </w:rPr>
        <w:drawing>
          <wp:inline distT="0" distB="0" distL="114300" distR="114300">
            <wp:extent cx="4749800" cy="8221345"/>
            <wp:effectExtent l="0" t="0" r="12700" b="8255"/>
            <wp:docPr id="25" name="图片 25" descr="96d4423ed03842bb15d99273e9f42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96d4423ed03842bb15d99273e9f42a1"/>
                    <pic:cNvPicPr>
                      <a:picLocks noChangeAspect="1"/>
                    </pic:cNvPicPr>
                  </pic:nvPicPr>
                  <pic:blipFill>
                    <a:blip r:embed="rId36"/>
                    <a:stretch>
                      <a:fillRect/>
                    </a:stretch>
                  </pic:blipFill>
                  <pic:spPr>
                    <a:xfrm>
                      <a:off x="0" y="0"/>
                      <a:ext cx="4749800" cy="8221345"/>
                    </a:xfrm>
                    <a:prstGeom prst="rect">
                      <a:avLst/>
                    </a:prstGeom>
                  </pic:spPr>
                </pic:pic>
              </a:graphicData>
            </a:graphic>
          </wp:inline>
        </w:drawing>
      </w:r>
    </w:p>
    <w:p>
      <w:pPr>
        <w:ind w:firstLine="480"/>
        <w:rPr>
          <w:rFonts w:eastAsia="宋体" w:cs="Times New Roman"/>
        </w:rPr>
      </w:pPr>
      <w:r>
        <w:rPr>
          <w:rFonts w:eastAsia="宋体" w:cs="Times New Roman"/>
        </w:rPr>
        <w:br w:type="page"/>
      </w:r>
    </w:p>
    <w:p>
      <w:pPr>
        <w:pStyle w:val="5"/>
        <w:rPr>
          <w:rFonts w:cs="Times New Roman"/>
        </w:rPr>
      </w:pPr>
      <w:r>
        <w:rPr>
          <w:rFonts w:hint="eastAsia" w:cs="Times New Roman"/>
        </w:rPr>
        <w:t>附件2</w:t>
      </w:r>
      <w:r>
        <w:rPr>
          <w:rFonts w:cs="Times New Roman"/>
        </w:rPr>
        <w:t>环评批复</w:t>
      </w:r>
    </w:p>
    <w:p>
      <w:pPr>
        <w:ind w:firstLine="0" w:firstLineChars="0"/>
        <w:jc w:val="center"/>
        <w:rPr>
          <w:rFonts w:eastAsia="宋体" w:cs="Times New Roman"/>
        </w:rPr>
        <w:sectPr>
          <w:pgSz w:w="11906" w:h="16838"/>
          <w:pgMar w:top="1418" w:right="1701" w:bottom="1418" w:left="1701" w:header="851" w:footer="992" w:gutter="0"/>
          <w:pgNumType w:fmt="numberInDash"/>
          <w:cols w:space="0" w:num="1"/>
          <w:docGrid w:type="lines" w:linePitch="332" w:charSpace="0"/>
        </w:sectPr>
      </w:pPr>
      <w:r>
        <w:rPr>
          <w:rFonts w:eastAsia="宋体" w:cs="Times New Roman"/>
        </w:rPr>
        <w:drawing>
          <wp:inline distT="0" distB="0" distL="114300" distR="114300">
            <wp:extent cx="5399405" cy="7577455"/>
            <wp:effectExtent l="0" t="0" r="10795" b="4445"/>
            <wp:docPr id="30" name="图片 30" descr="5109c37acb2ea73365ee732e9ac17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5109c37acb2ea73365ee732e9ac174e"/>
                    <pic:cNvPicPr>
                      <a:picLocks noChangeAspect="1"/>
                    </pic:cNvPicPr>
                  </pic:nvPicPr>
                  <pic:blipFill>
                    <a:blip r:embed="rId37"/>
                    <a:stretch>
                      <a:fillRect/>
                    </a:stretch>
                  </pic:blipFill>
                  <pic:spPr>
                    <a:xfrm>
                      <a:off x="0" y="0"/>
                      <a:ext cx="5399405" cy="7577455"/>
                    </a:xfrm>
                    <a:prstGeom prst="rect">
                      <a:avLst/>
                    </a:prstGeom>
                  </pic:spPr>
                </pic:pic>
              </a:graphicData>
            </a:graphic>
          </wp:inline>
        </w:drawing>
      </w:r>
      <w:r>
        <w:rPr>
          <w:rFonts w:eastAsia="宋体" w:cs="Times New Roman"/>
        </w:rPr>
        <w:drawing>
          <wp:inline distT="0" distB="0" distL="114300" distR="114300">
            <wp:extent cx="5400040" cy="7771130"/>
            <wp:effectExtent l="0" t="0" r="10160" b="1270"/>
            <wp:docPr id="31" name="图片 31" descr="518e7fead257adc1700178a5201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518e7fead257adc1700178a52010329"/>
                    <pic:cNvPicPr>
                      <a:picLocks noChangeAspect="1"/>
                    </pic:cNvPicPr>
                  </pic:nvPicPr>
                  <pic:blipFill>
                    <a:blip r:embed="rId38"/>
                    <a:stretch>
                      <a:fillRect/>
                    </a:stretch>
                  </pic:blipFill>
                  <pic:spPr>
                    <a:xfrm>
                      <a:off x="0" y="0"/>
                      <a:ext cx="5400040" cy="7771130"/>
                    </a:xfrm>
                    <a:prstGeom prst="rect">
                      <a:avLst/>
                    </a:prstGeom>
                  </pic:spPr>
                </pic:pic>
              </a:graphicData>
            </a:graphic>
          </wp:inline>
        </w:drawing>
      </w:r>
      <w:r>
        <w:rPr>
          <w:rFonts w:eastAsia="宋体" w:cs="Times New Roman"/>
        </w:rPr>
        <w:drawing>
          <wp:inline distT="0" distB="0" distL="114300" distR="114300">
            <wp:extent cx="5380990" cy="7452995"/>
            <wp:effectExtent l="0" t="0" r="10160" b="14605"/>
            <wp:docPr id="32" name="图片 32" descr="92e32c8ca2bb6dce14198ff86e2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92e32c8ca2bb6dce14198ff86e24106"/>
                    <pic:cNvPicPr>
                      <a:picLocks noChangeAspect="1"/>
                    </pic:cNvPicPr>
                  </pic:nvPicPr>
                  <pic:blipFill>
                    <a:blip r:embed="rId39"/>
                    <a:stretch>
                      <a:fillRect/>
                    </a:stretch>
                  </pic:blipFill>
                  <pic:spPr>
                    <a:xfrm>
                      <a:off x="0" y="0"/>
                      <a:ext cx="5380990" cy="7452995"/>
                    </a:xfrm>
                    <a:prstGeom prst="rect">
                      <a:avLst/>
                    </a:prstGeom>
                  </pic:spPr>
                </pic:pic>
              </a:graphicData>
            </a:graphic>
          </wp:inline>
        </w:drawing>
      </w:r>
    </w:p>
    <w:p>
      <w:pPr>
        <w:pStyle w:val="5"/>
        <w:rPr>
          <w:rFonts w:cs="Times New Roman"/>
        </w:rPr>
      </w:pPr>
      <w:r>
        <w:rPr>
          <w:rFonts w:cs="Times New Roman"/>
        </w:rPr>
        <w:t>附件</w:t>
      </w:r>
      <w:r>
        <w:rPr>
          <w:rFonts w:hint="eastAsia" w:cs="Times New Roman"/>
        </w:rPr>
        <w:t>3</w:t>
      </w:r>
      <w:r>
        <w:rPr>
          <w:rFonts w:cs="Times New Roman"/>
        </w:rPr>
        <w:t>排污许可登记回执</w:t>
      </w:r>
    </w:p>
    <w:p>
      <w:pPr>
        <w:pStyle w:val="5"/>
        <w:jc w:val="center"/>
        <w:rPr>
          <w:rFonts w:cs="Times New Roman"/>
        </w:rPr>
        <w:sectPr>
          <w:pgSz w:w="11906" w:h="16838"/>
          <w:pgMar w:top="1701" w:right="1418" w:bottom="1701" w:left="1418" w:header="851" w:footer="992" w:gutter="0"/>
          <w:pgNumType w:fmt="numberInDash"/>
          <w:cols w:space="0" w:num="1"/>
          <w:docGrid w:type="lines" w:linePitch="332" w:charSpace="0"/>
        </w:sectPr>
      </w:pPr>
      <w:r>
        <w:rPr>
          <w:rFonts w:cs="Times New Roman"/>
          <w:sz w:val="24"/>
          <w:szCs w:val="24"/>
        </w:rPr>
        <w:drawing>
          <wp:inline distT="0" distB="0" distL="114300" distR="114300">
            <wp:extent cx="5400040" cy="7637780"/>
            <wp:effectExtent l="0" t="0" r="10160" b="1270"/>
            <wp:docPr id="3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descr="IMG_256"/>
                    <pic:cNvPicPr>
                      <a:picLocks noChangeAspect="1"/>
                    </pic:cNvPicPr>
                  </pic:nvPicPr>
                  <pic:blipFill>
                    <a:blip r:embed="rId40"/>
                    <a:stretch>
                      <a:fillRect/>
                    </a:stretch>
                  </pic:blipFill>
                  <pic:spPr>
                    <a:xfrm>
                      <a:off x="0" y="0"/>
                      <a:ext cx="5400040" cy="7637780"/>
                    </a:xfrm>
                    <a:prstGeom prst="rect">
                      <a:avLst/>
                    </a:prstGeom>
                    <a:noFill/>
                    <a:ln w="9525">
                      <a:noFill/>
                    </a:ln>
                  </pic:spPr>
                </pic:pic>
              </a:graphicData>
            </a:graphic>
          </wp:inline>
        </w:drawing>
      </w:r>
    </w:p>
    <w:p>
      <w:pPr>
        <w:pStyle w:val="5"/>
        <w:rPr>
          <w:rFonts w:cs="Times New Roman"/>
        </w:rPr>
      </w:pPr>
      <w:r>
        <w:rPr>
          <w:rFonts w:cs="Times New Roman"/>
        </w:rPr>
        <w:t>附件</w:t>
      </w:r>
      <w:r>
        <w:rPr>
          <w:rFonts w:hint="eastAsia" w:cs="Times New Roman"/>
        </w:rPr>
        <w:t>4</w:t>
      </w:r>
      <w:r>
        <w:rPr>
          <w:rFonts w:cs="Times New Roman"/>
        </w:rPr>
        <w:t>公司用水情况</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2"/>
        <w:gridCol w:w="2628"/>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62"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调查时间</w:t>
            </w:r>
          </w:p>
        </w:tc>
        <w:tc>
          <w:tcPr>
            <w:tcW w:w="2628"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期间用水量（t）</w:t>
            </w:r>
          </w:p>
        </w:tc>
        <w:tc>
          <w:tcPr>
            <w:tcW w:w="3096"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期间工作天数（天）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62"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2021年6月1</w:t>
            </w:r>
            <w:r>
              <w:rPr>
                <w:rFonts w:hint="eastAsia" w:eastAsia="宋体" w:cs="Times New Roman"/>
                <w:color w:val="000000" w:themeColor="text1"/>
                <w:lang w:val="en-US" w:eastAsia="zh-CN"/>
                <w14:textFill>
                  <w14:solidFill>
                    <w14:schemeClr w14:val="tx1"/>
                  </w14:solidFill>
                </w14:textFill>
              </w:rPr>
              <w:t>6</w:t>
            </w:r>
            <w:r>
              <w:rPr>
                <w:rFonts w:eastAsia="宋体" w:cs="Times New Roman"/>
                <w:color w:val="000000" w:themeColor="text1"/>
                <w14:textFill>
                  <w14:solidFill>
                    <w14:schemeClr w14:val="tx1"/>
                  </w14:solidFill>
                </w14:textFill>
              </w:rPr>
              <w:t>日-7月15日</w:t>
            </w:r>
          </w:p>
        </w:tc>
        <w:tc>
          <w:tcPr>
            <w:tcW w:w="2628"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hint="eastAsia" w:eastAsia="宋体" w:cs="Times New Roman"/>
                <w:color w:val="000000" w:themeColor="text1"/>
                <w14:textFill>
                  <w14:solidFill>
                    <w14:schemeClr w14:val="tx1"/>
                  </w14:solidFill>
                </w14:textFill>
              </w:rPr>
              <w:t>85</w:t>
            </w:r>
          </w:p>
        </w:tc>
        <w:tc>
          <w:tcPr>
            <w:tcW w:w="3096"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62"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2021年7月16日-8月15日</w:t>
            </w:r>
          </w:p>
        </w:tc>
        <w:tc>
          <w:tcPr>
            <w:tcW w:w="2628"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hint="eastAsia" w:eastAsia="宋体" w:cs="Times New Roman"/>
                <w:color w:val="000000" w:themeColor="text1"/>
                <w14:textFill>
                  <w14:solidFill>
                    <w14:schemeClr w14:val="tx1"/>
                  </w14:solidFill>
                </w14:textFill>
              </w:rPr>
              <w:t>88</w:t>
            </w:r>
          </w:p>
        </w:tc>
        <w:tc>
          <w:tcPr>
            <w:tcW w:w="3096"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62"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2021年8月16日-9月15日</w:t>
            </w:r>
          </w:p>
        </w:tc>
        <w:tc>
          <w:tcPr>
            <w:tcW w:w="2628"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hint="eastAsia" w:eastAsia="宋体" w:cs="Times New Roman"/>
                <w:color w:val="000000" w:themeColor="text1"/>
                <w14:textFill>
                  <w14:solidFill>
                    <w14:schemeClr w14:val="tx1"/>
                  </w14:solidFill>
                </w14:textFill>
              </w:rPr>
              <w:t>89</w:t>
            </w:r>
          </w:p>
        </w:tc>
        <w:tc>
          <w:tcPr>
            <w:tcW w:w="3096"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562"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合计</w:t>
            </w:r>
          </w:p>
        </w:tc>
        <w:tc>
          <w:tcPr>
            <w:tcW w:w="2628"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hint="eastAsia" w:eastAsia="宋体" w:cs="Times New Roman"/>
                <w:color w:val="000000" w:themeColor="text1"/>
                <w14:textFill>
                  <w14:solidFill>
                    <w14:schemeClr w14:val="tx1"/>
                  </w14:solidFill>
                </w14:textFill>
              </w:rPr>
              <w:t>262</w:t>
            </w:r>
          </w:p>
        </w:tc>
        <w:tc>
          <w:tcPr>
            <w:tcW w:w="3096" w:type="dxa"/>
            <w:vAlign w:val="center"/>
          </w:tcPr>
          <w:p>
            <w:pPr>
              <w:spacing w:line="240" w:lineRule="auto"/>
              <w:ind w:firstLine="0" w:firstLineChars="0"/>
              <w:jc w:val="center"/>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75</w:t>
            </w:r>
          </w:p>
        </w:tc>
      </w:tr>
    </w:tbl>
    <w:p>
      <w:pPr>
        <w:ind w:firstLine="480"/>
        <w:rPr>
          <w:rFonts w:eastAsia="宋体" w:cs="Times New Roman"/>
        </w:rPr>
      </w:pPr>
    </w:p>
    <w:p>
      <w:pPr>
        <w:pStyle w:val="2"/>
        <w:ind w:left="0" w:leftChars="0" w:firstLine="0" w:firstLineChars="0"/>
        <w:jc w:val="center"/>
        <w:rPr>
          <w:rFonts w:eastAsia="宋体" w:cs="Times New Roman"/>
        </w:rPr>
        <w:sectPr>
          <w:pgSz w:w="11906" w:h="16838"/>
          <w:pgMar w:top="1701" w:right="1418" w:bottom="1701" w:left="1418" w:header="851" w:footer="992" w:gutter="0"/>
          <w:pgNumType w:fmt="numberInDash"/>
          <w:cols w:space="0" w:num="1"/>
          <w:docGrid w:type="lines" w:linePitch="332" w:charSpace="0"/>
        </w:sectPr>
      </w:pPr>
    </w:p>
    <w:p>
      <w:pPr>
        <w:pStyle w:val="5"/>
        <w:rPr>
          <w:rFonts w:hint="eastAsia" w:eastAsia="宋体" w:cs="Times New Roman"/>
          <w:lang w:eastAsia="zh-CN"/>
        </w:rPr>
        <w:sectPr>
          <w:pgSz w:w="11906" w:h="16838"/>
          <w:pgMar w:top="1418" w:right="1701" w:bottom="1418" w:left="1701" w:header="851" w:footer="992" w:gutter="0"/>
          <w:pgNumType w:fmt="numberInDash"/>
          <w:cols w:space="0" w:num="1"/>
          <w:docGrid w:type="lines" w:linePitch="332" w:charSpace="0"/>
        </w:sectPr>
      </w:pPr>
      <w:r>
        <w:rPr>
          <w:rFonts w:cs="Times New Roman"/>
        </w:rPr>
        <w:t>附件</w:t>
      </w:r>
      <w:r>
        <w:rPr>
          <w:rFonts w:hint="eastAsia" w:cs="Times New Roman"/>
        </w:rPr>
        <w:t>5</w:t>
      </w:r>
      <w:r>
        <w:rPr>
          <w:rFonts w:cs="Times New Roman"/>
        </w:rPr>
        <w:t>检测报告</w:t>
      </w:r>
      <w:r>
        <w:rPr>
          <w:rFonts w:hint="eastAsia" w:eastAsia="宋体" w:cs="Times New Roman"/>
          <w:lang w:eastAsia="zh-CN"/>
        </w:rPr>
        <w:drawing>
          <wp:inline distT="0" distB="0" distL="114300" distR="114300">
            <wp:extent cx="5391150" cy="7658100"/>
            <wp:effectExtent l="0" t="0" r="0" b="0"/>
            <wp:docPr id="6" name="图片 6" descr="允源检测报告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允源检测报告_1"/>
                    <pic:cNvPicPr>
                      <a:picLocks noChangeAspect="1"/>
                    </pic:cNvPicPr>
                  </pic:nvPicPr>
                  <pic:blipFill>
                    <a:blip r:embed="rId41"/>
                    <a:stretch>
                      <a:fillRect/>
                    </a:stretch>
                  </pic:blipFill>
                  <pic:spPr>
                    <a:xfrm>
                      <a:off x="0" y="0"/>
                      <a:ext cx="5391150" cy="7658100"/>
                    </a:xfrm>
                    <a:prstGeom prst="rect">
                      <a:avLst/>
                    </a:prstGeom>
                  </pic:spPr>
                </pic:pic>
              </a:graphicData>
            </a:graphic>
          </wp:inline>
        </w:drawing>
      </w:r>
      <w:r>
        <w:rPr>
          <w:rFonts w:hint="eastAsia" w:eastAsia="宋体" w:cs="Times New Roman"/>
          <w:lang w:eastAsia="zh-CN"/>
        </w:rPr>
        <w:drawing>
          <wp:inline distT="0" distB="0" distL="114300" distR="114300">
            <wp:extent cx="5398770" cy="8221980"/>
            <wp:effectExtent l="0" t="0" r="11430" b="7620"/>
            <wp:docPr id="7" name="图片 7" descr="允源检测报告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允源检测报告_2"/>
                    <pic:cNvPicPr>
                      <a:picLocks noChangeAspect="1"/>
                    </pic:cNvPicPr>
                  </pic:nvPicPr>
                  <pic:blipFill>
                    <a:blip r:embed="rId42"/>
                    <a:stretch>
                      <a:fillRect/>
                    </a:stretch>
                  </pic:blipFill>
                  <pic:spPr>
                    <a:xfrm>
                      <a:off x="0" y="0"/>
                      <a:ext cx="5398770" cy="8221980"/>
                    </a:xfrm>
                    <a:prstGeom prst="rect">
                      <a:avLst/>
                    </a:prstGeom>
                  </pic:spPr>
                </pic:pic>
              </a:graphicData>
            </a:graphic>
          </wp:inline>
        </w:drawing>
      </w:r>
      <w:r>
        <w:rPr>
          <w:rFonts w:hint="eastAsia" w:eastAsia="宋体" w:cs="Times New Roman"/>
          <w:lang w:eastAsia="zh-CN"/>
        </w:rPr>
        <w:drawing>
          <wp:inline distT="0" distB="0" distL="114300" distR="114300">
            <wp:extent cx="5393055" cy="8010525"/>
            <wp:effectExtent l="0" t="0" r="17145" b="9525"/>
            <wp:docPr id="8" name="图片 8" descr="允源检测报告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允源检测报告_3"/>
                    <pic:cNvPicPr>
                      <a:picLocks noChangeAspect="1"/>
                    </pic:cNvPicPr>
                  </pic:nvPicPr>
                  <pic:blipFill>
                    <a:blip r:embed="rId43"/>
                    <a:stretch>
                      <a:fillRect/>
                    </a:stretch>
                  </pic:blipFill>
                  <pic:spPr>
                    <a:xfrm>
                      <a:off x="0" y="0"/>
                      <a:ext cx="5393055" cy="8010525"/>
                    </a:xfrm>
                    <a:prstGeom prst="rect">
                      <a:avLst/>
                    </a:prstGeom>
                  </pic:spPr>
                </pic:pic>
              </a:graphicData>
            </a:graphic>
          </wp:inline>
        </w:drawing>
      </w:r>
      <w:r>
        <w:rPr>
          <w:rFonts w:hint="eastAsia" w:eastAsia="宋体" w:cs="Times New Roman"/>
          <w:lang w:eastAsia="zh-CN"/>
        </w:rPr>
        <w:drawing>
          <wp:inline distT="0" distB="0" distL="114300" distR="114300">
            <wp:extent cx="5398135" cy="8118475"/>
            <wp:effectExtent l="0" t="0" r="12065" b="15875"/>
            <wp:docPr id="9" name="图片 9" descr="允源检测报告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允源检测报告_4"/>
                    <pic:cNvPicPr>
                      <a:picLocks noChangeAspect="1"/>
                    </pic:cNvPicPr>
                  </pic:nvPicPr>
                  <pic:blipFill>
                    <a:blip r:embed="rId44"/>
                    <a:stretch>
                      <a:fillRect/>
                    </a:stretch>
                  </pic:blipFill>
                  <pic:spPr>
                    <a:xfrm>
                      <a:off x="0" y="0"/>
                      <a:ext cx="5398135" cy="8118475"/>
                    </a:xfrm>
                    <a:prstGeom prst="rect">
                      <a:avLst/>
                    </a:prstGeom>
                  </pic:spPr>
                </pic:pic>
              </a:graphicData>
            </a:graphic>
          </wp:inline>
        </w:drawing>
      </w:r>
      <w:r>
        <w:rPr>
          <w:rFonts w:hint="eastAsia" w:eastAsia="宋体" w:cs="Times New Roman"/>
          <w:lang w:eastAsia="zh-CN"/>
        </w:rPr>
        <w:drawing>
          <wp:inline distT="0" distB="0" distL="114300" distR="114300">
            <wp:extent cx="5400040" cy="8042910"/>
            <wp:effectExtent l="0" t="0" r="10160" b="15240"/>
            <wp:docPr id="10" name="图片 10" descr="允源检测报告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允源检测报告_5"/>
                    <pic:cNvPicPr>
                      <a:picLocks noChangeAspect="1"/>
                    </pic:cNvPicPr>
                  </pic:nvPicPr>
                  <pic:blipFill>
                    <a:blip r:embed="rId45"/>
                    <a:stretch>
                      <a:fillRect/>
                    </a:stretch>
                  </pic:blipFill>
                  <pic:spPr>
                    <a:xfrm>
                      <a:off x="0" y="0"/>
                      <a:ext cx="5400040" cy="8042910"/>
                    </a:xfrm>
                    <a:prstGeom prst="rect">
                      <a:avLst/>
                    </a:prstGeom>
                  </pic:spPr>
                </pic:pic>
              </a:graphicData>
            </a:graphic>
          </wp:inline>
        </w:drawing>
      </w:r>
      <w:r>
        <w:rPr>
          <w:rFonts w:hint="eastAsia" w:eastAsia="宋体" w:cs="Times New Roman"/>
          <w:lang w:eastAsia="zh-CN"/>
        </w:rPr>
        <w:drawing>
          <wp:inline distT="0" distB="0" distL="114300" distR="114300">
            <wp:extent cx="5390515" cy="8135620"/>
            <wp:effectExtent l="0" t="0" r="635" b="17780"/>
            <wp:docPr id="11" name="图片 11" descr="允源检测报告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允源检测报告_6"/>
                    <pic:cNvPicPr>
                      <a:picLocks noChangeAspect="1"/>
                    </pic:cNvPicPr>
                  </pic:nvPicPr>
                  <pic:blipFill>
                    <a:blip r:embed="rId46"/>
                    <a:stretch>
                      <a:fillRect/>
                    </a:stretch>
                  </pic:blipFill>
                  <pic:spPr>
                    <a:xfrm>
                      <a:off x="0" y="0"/>
                      <a:ext cx="5390515" cy="8135620"/>
                    </a:xfrm>
                    <a:prstGeom prst="rect">
                      <a:avLst/>
                    </a:prstGeom>
                  </pic:spPr>
                </pic:pic>
              </a:graphicData>
            </a:graphic>
          </wp:inline>
        </w:drawing>
      </w:r>
      <w:r>
        <w:rPr>
          <w:rFonts w:hint="eastAsia" w:eastAsia="宋体" w:cs="Times New Roman"/>
          <w:lang w:eastAsia="zh-CN"/>
        </w:rPr>
        <w:drawing>
          <wp:inline distT="0" distB="0" distL="114300" distR="114300">
            <wp:extent cx="5384800" cy="8273415"/>
            <wp:effectExtent l="0" t="0" r="6350" b="13335"/>
            <wp:docPr id="12" name="图片 12" descr="允源检测报告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允源检测报告_7"/>
                    <pic:cNvPicPr>
                      <a:picLocks noChangeAspect="1"/>
                    </pic:cNvPicPr>
                  </pic:nvPicPr>
                  <pic:blipFill>
                    <a:blip r:embed="rId47"/>
                    <a:stretch>
                      <a:fillRect/>
                    </a:stretch>
                  </pic:blipFill>
                  <pic:spPr>
                    <a:xfrm>
                      <a:off x="0" y="0"/>
                      <a:ext cx="5384800" cy="8273415"/>
                    </a:xfrm>
                    <a:prstGeom prst="rect">
                      <a:avLst/>
                    </a:prstGeom>
                  </pic:spPr>
                </pic:pic>
              </a:graphicData>
            </a:graphic>
          </wp:inline>
        </w:drawing>
      </w:r>
      <w:r>
        <w:rPr>
          <w:rFonts w:hint="eastAsia" w:eastAsia="宋体" w:cs="Times New Roman"/>
          <w:lang w:eastAsia="zh-CN"/>
        </w:rPr>
        <w:drawing>
          <wp:inline distT="0" distB="0" distL="114300" distR="114300">
            <wp:extent cx="5386705" cy="8258175"/>
            <wp:effectExtent l="0" t="0" r="4445" b="9525"/>
            <wp:docPr id="13" name="图片 13" descr="允源检测报告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允源检测报告_8"/>
                    <pic:cNvPicPr>
                      <a:picLocks noChangeAspect="1"/>
                    </pic:cNvPicPr>
                  </pic:nvPicPr>
                  <pic:blipFill>
                    <a:blip r:embed="rId48"/>
                    <a:stretch>
                      <a:fillRect/>
                    </a:stretch>
                  </pic:blipFill>
                  <pic:spPr>
                    <a:xfrm>
                      <a:off x="0" y="0"/>
                      <a:ext cx="5386705" cy="8258175"/>
                    </a:xfrm>
                    <a:prstGeom prst="rect">
                      <a:avLst/>
                    </a:prstGeom>
                  </pic:spPr>
                </pic:pic>
              </a:graphicData>
            </a:graphic>
          </wp:inline>
        </w:drawing>
      </w:r>
      <w:r>
        <w:rPr>
          <w:rFonts w:hint="eastAsia" w:eastAsia="宋体" w:cs="Times New Roman"/>
          <w:lang w:eastAsia="zh-CN"/>
        </w:rPr>
        <w:drawing>
          <wp:inline distT="0" distB="0" distL="114300" distR="114300">
            <wp:extent cx="5389245" cy="8154670"/>
            <wp:effectExtent l="0" t="0" r="1905" b="17780"/>
            <wp:docPr id="14" name="图片 14" descr="允源检测报告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允源检测报告_9"/>
                    <pic:cNvPicPr>
                      <a:picLocks noChangeAspect="1"/>
                    </pic:cNvPicPr>
                  </pic:nvPicPr>
                  <pic:blipFill>
                    <a:blip r:embed="rId49"/>
                    <a:stretch>
                      <a:fillRect/>
                    </a:stretch>
                  </pic:blipFill>
                  <pic:spPr>
                    <a:xfrm>
                      <a:off x="0" y="0"/>
                      <a:ext cx="5389245" cy="8154670"/>
                    </a:xfrm>
                    <a:prstGeom prst="rect">
                      <a:avLst/>
                    </a:prstGeom>
                  </pic:spPr>
                </pic:pic>
              </a:graphicData>
            </a:graphic>
          </wp:inline>
        </w:drawing>
      </w:r>
      <w:r>
        <w:rPr>
          <w:rFonts w:hint="eastAsia" w:eastAsia="宋体" w:cs="Times New Roman"/>
          <w:lang w:eastAsia="zh-CN"/>
        </w:rPr>
        <w:drawing>
          <wp:inline distT="0" distB="0" distL="114300" distR="114300">
            <wp:extent cx="5384800" cy="8166735"/>
            <wp:effectExtent l="0" t="0" r="6350" b="5715"/>
            <wp:docPr id="17" name="图片 17" descr="允源检测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允源检测报告_10"/>
                    <pic:cNvPicPr>
                      <a:picLocks noChangeAspect="1"/>
                    </pic:cNvPicPr>
                  </pic:nvPicPr>
                  <pic:blipFill>
                    <a:blip r:embed="rId50"/>
                    <a:stretch>
                      <a:fillRect/>
                    </a:stretch>
                  </pic:blipFill>
                  <pic:spPr>
                    <a:xfrm>
                      <a:off x="0" y="0"/>
                      <a:ext cx="5384800" cy="8166735"/>
                    </a:xfrm>
                    <a:prstGeom prst="rect">
                      <a:avLst/>
                    </a:prstGeom>
                  </pic:spPr>
                </pic:pic>
              </a:graphicData>
            </a:graphic>
          </wp:inline>
        </w:drawing>
      </w:r>
      <w:r>
        <w:rPr>
          <w:rFonts w:hint="eastAsia" w:eastAsia="宋体" w:cs="Times New Roman"/>
          <w:lang w:eastAsia="zh-CN"/>
        </w:rPr>
        <w:drawing>
          <wp:inline distT="0" distB="0" distL="114300" distR="114300">
            <wp:extent cx="5398135" cy="8158480"/>
            <wp:effectExtent l="0" t="0" r="12065" b="13970"/>
            <wp:docPr id="18" name="图片 18" descr="允源检测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允源检测报告_11"/>
                    <pic:cNvPicPr>
                      <a:picLocks noChangeAspect="1"/>
                    </pic:cNvPicPr>
                  </pic:nvPicPr>
                  <pic:blipFill>
                    <a:blip r:embed="rId51"/>
                    <a:stretch>
                      <a:fillRect/>
                    </a:stretch>
                  </pic:blipFill>
                  <pic:spPr>
                    <a:xfrm>
                      <a:off x="0" y="0"/>
                      <a:ext cx="5398135" cy="8158480"/>
                    </a:xfrm>
                    <a:prstGeom prst="rect">
                      <a:avLst/>
                    </a:prstGeom>
                  </pic:spPr>
                </pic:pic>
              </a:graphicData>
            </a:graphic>
          </wp:inline>
        </w:drawing>
      </w:r>
      <w:r>
        <w:rPr>
          <w:rFonts w:hint="eastAsia" w:eastAsia="宋体" w:cs="Times New Roman"/>
          <w:lang w:eastAsia="zh-CN"/>
        </w:rPr>
        <w:drawing>
          <wp:inline distT="0" distB="0" distL="114300" distR="114300">
            <wp:extent cx="5398770" cy="8176895"/>
            <wp:effectExtent l="0" t="0" r="11430" b="14605"/>
            <wp:docPr id="19" name="图片 19" descr="允源检测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允源检测报告_12"/>
                    <pic:cNvPicPr>
                      <a:picLocks noChangeAspect="1"/>
                    </pic:cNvPicPr>
                  </pic:nvPicPr>
                  <pic:blipFill>
                    <a:blip r:embed="rId52"/>
                    <a:stretch>
                      <a:fillRect/>
                    </a:stretch>
                  </pic:blipFill>
                  <pic:spPr>
                    <a:xfrm>
                      <a:off x="0" y="0"/>
                      <a:ext cx="5398770" cy="8176895"/>
                    </a:xfrm>
                    <a:prstGeom prst="rect">
                      <a:avLst/>
                    </a:prstGeom>
                  </pic:spPr>
                </pic:pic>
              </a:graphicData>
            </a:graphic>
          </wp:inline>
        </w:drawing>
      </w:r>
      <w:r>
        <w:rPr>
          <w:rFonts w:hint="eastAsia" w:eastAsia="宋体" w:cs="Times New Roman"/>
          <w:lang w:eastAsia="zh-CN"/>
        </w:rPr>
        <w:drawing>
          <wp:inline distT="0" distB="0" distL="114300" distR="114300">
            <wp:extent cx="5386070" cy="7960360"/>
            <wp:effectExtent l="0" t="0" r="5080" b="2540"/>
            <wp:docPr id="20" name="图片 20" descr="允源检测报告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允源检测报告_13"/>
                    <pic:cNvPicPr>
                      <a:picLocks noChangeAspect="1"/>
                    </pic:cNvPicPr>
                  </pic:nvPicPr>
                  <pic:blipFill>
                    <a:blip r:embed="rId53"/>
                    <a:stretch>
                      <a:fillRect/>
                    </a:stretch>
                  </pic:blipFill>
                  <pic:spPr>
                    <a:xfrm>
                      <a:off x="0" y="0"/>
                      <a:ext cx="5386070" cy="7960360"/>
                    </a:xfrm>
                    <a:prstGeom prst="rect">
                      <a:avLst/>
                    </a:prstGeom>
                  </pic:spPr>
                </pic:pic>
              </a:graphicData>
            </a:graphic>
          </wp:inline>
        </w:drawing>
      </w:r>
      <w:r>
        <w:rPr>
          <w:rFonts w:hint="eastAsia" w:eastAsia="宋体" w:cs="Times New Roman"/>
          <w:lang w:eastAsia="zh-CN"/>
        </w:rPr>
        <w:drawing>
          <wp:inline distT="0" distB="0" distL="114300" distR="114300">
            <wp:extent cx="5394960" cy="8081010"/>
            <wp:effectExtent l="0" t="0" r="15240" b="15240"/>
            <wp:docPr id="21" name="图片 21" descr="允源检测报告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允源检测报告_14"/>
                    <pic:cNvPicPr>
                      <a:picLocks noChangeAspect="1"/>
                    </pic:cNvPicPr>
                  </pic:nvPicPr>
                  <pic:blipFill>
                    <a:blip r:embed="rId54"/>
                    <a:stretch>
                      <a:fillRect/>
                    </a:stretch>
                  </pic:blipFill>
                  <pic:spPr>
                    <a:xfrm>
                      <a:off x="0" y="0"/>
                      <a:ext cx="5394960" cy="8081010"/>
                    </a:xfrm>
                    <a:prstGeom prst="rect">
                      <a:avLst/>
                    </a:prstGeom>
                  </pic:spPr>
                </pic:pic>
              </a:graphicData>
            </a:graphic>
          </wp:inline>
        </w:drawing>
      </w:r>
    </w:p>
    <w:p>
      <w:pPr>
        <w:pStyle w:val="5"/>
        <w:rPr>
          <w:rFonts w:cs="Times New Roman"/>
        </w:rPr>
      </w:pPr>
      <w:r>
        <w:rPr>
          <w:rFonts w:cs="Times New Roman"/>
        </w:rPr>
        <w:t>附件</w:t>
      </w:r>
      <w:r>
        <w:rPr>
          <w:rFonts w:hint="eastAsia" w:cs="Times New Roman"/>
        </w:rPr>
        <w:t>6</w:t>
      </w:r>
      <w:r>
        <w:rPr>
          <w:rFonts w:cs="Times New Roman"/>
        </w:rPr>
        <w:t>生产日报表</w:t>
      </w:r>
    </w:p>
    <w:tbl>
      <w:tblPr>
        <w:tblStyle w:val="21"/>
        <w:tblW w:w="84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8"/>
        <w:gridCol w:w="1701"/>
        <w:gridCol w:w="1333"/>
        <w:gridCol w:w="1930"/>
        <w:gridCol w:w="1131"/>
        <w:gridCol w:w="1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8" w:type="dxa"/>
            <w:vAlign w:val="center"/>
          </w:tcPr>
          <w:p>
            <w:pPr>
              <w:pStyle w:val="30"/>
              <w:rPr>
                <w:rFonts w:eastAsia="宋体" w:cs="Times New Roman"/>
                <w:b/>
                <w:bCs/>
              </w:rPr>
            </w:pPr>
            <w:r>
              <w:rPr>
                <w:rFonts w:eastAsia="宋体" w:cs="Times New Roman"/>
                <w:b/>
                <w:bCs/>
              </w:rPr>
              <w:t>产品名称</w:t>
            </w:r>
          </w:p>
        </w:tc>
        <w:tc>
          <w:tcPr>
            <w:tcW w:w="1701" w:type="dxa"/>
            <w:vAlign w:val="center"/>
          </w:tcPr>
          <w:p>
            <w:pPr>
              <w:pStyle w:val="30"/>
              <w:rPr>
                <w:rFonts w:eastAsia="宋体" w:cs="Times New Roman"/>
                <w:b/>
                <w:bCs/>
              </w:rPr>
            </w:pPr>
            <w:r>
              <w:rPr>
                <w:rFonts w:eastAsia="宋体" w:cs="Times New Roman"/>
                <w:b/>
                <w:bCs/>
              </w:rPr>
              <w:t>环评设计年产量</w:t>
            </w:r>
          </w:p>
        </w:tc>
        <w:tc>
          <w:tcPr>
            <w:tcW w:w="1333" w:type="dxa"/>
            <w:vAlign w:val="center"/>
          </w:tcPr>
          <w:p>
            <w:pPr>
              <w:pStyle w:val="30"/>
              <w:rPr>
                <w:rFonts w:eastAsia="宋体" w:cs="Times New Roman"/>
                <w:b/>
                <w:bCs/>
              </w:rPr>
            </w:pPr>
            <w:r>
              <w:rPr>
                <w:rFonts w:eastAsia="宋体" w:cs="Times New Roman"/>
                <w:b/>
                <w:bCs/>
              </w:rPr>
              <w:t>环评日产量</w:t>
            </w:r>
          </w:p>
        </w:tc>
        <w:tc>
          <w:tcPr>
            <w:tcW w:w="3061" w:type="dxa"/>
            <w:gridSpan w:val="2"/>
            <w:vAlign w:val="center"/>
          </w:tcPr>
          <w:p>
            <w:pPr>
              <w:pStyle w:val="30"/>
              <w:rPr>
                <w:rFonts w:eastAsia="宋体" w:cs="Times New Roman"/>
                <w:b/>
                <w:bCs/>
              </w:rPr>
            </w:pPr>
            <w:r>
              <w:rPr>
                <w:rFonts w:eastAsia="宋体" w:cs="Times New Roman"/>
                <w:b/>
                <w:bCs/>
              </w:rPr>
              <w:t>验收期间产量</w:t>
            </w:r>
          </w:p>
        </w:tc>
        <w:tc>
          <w:tcPr>
            <w:tcW w:w="1122" w:type="dxa"/>
            <w:vAlign w:val="center"/>
          </w:tcPr>
          <w:p>
            <w:pPr>
              <w:pStyle w:val="30"/>
              <w:rPr>
                <w:rFonts w:eastAsia="宋体" w:cs="Times New Roman"/>
                <w:b/>
                <w:bCs/>
              </w:rPr>
            </w:pPr>
            <w:r>
              <w:rPr>
                <w:rFonts w:eastAsia="宋体" w:cs="Times New Roman"/>
                <w:b/>
                <w:bCs/>
              </w:rPr>
              <w:t>负荷率（%）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8" w:type="dxa"/>
            <w:vMerge w:val="restart"/>
            <w:vAlign w:val="center"/>
          </w:tcPr>
          <w:p>
            <w:pPr>
              <w:pStyle w:val="30"/>
              <w:rPr>
                <w:rFonts w:eastAsia="宋体" w:cs="Times New Roman"/>
              </w:rPr>
            </w:pPr>
            <w:r>
              <w:rPr>
                <w:rFonts w:eastAsia="宋体" w:cs="Times New Roman"/>
              </w:rPr>
              <w:t>毛条</w:t>
            </w:r>
          </w:p>
        </w:tc>
        <w:tc>
          <w:tcPr>
            <w:tcW w:w="1701" w:type="dxa"/>
            <w:vMerge w:val="restart"/>
            <w:vAlign w:val="center"/>
          </w:tcPr>
          <w:p>
            <w:pPr>
              <w:pStyle w:val="30"/>
              <w:rPr>
                <w:rFonts w:eastAsia="宋体" w:cs="Times New Roman"/>
              </w:rPr>
            </w:pPr>
            <w:r>
              <w:rPr>
                <w:rFonts w:eastAsia="宋体" w:cs="Times New Roman"/>
              </w:rPr>
              <w:t>2000t/a</w:t>
            </w:r>
          </w:p>
        </w:tc>
        <w:tc>
          <w:tcPr>
            <w:tcW w:w="1333" w:type="dxa"/>
            <w:vMerge w:val="restart"/>
            <w:vAlign w:val="center"/>
          </w:tcPr>
          <w:p>
            <w:pPr>
              <w:pStyle w:val="30"/>
              <w:rPr>
                <w:rFonts w:eastAsia="宋体" w:cs="Times New Roman"/>
              </w:rPr>
            </w:pPr>
            <w:r>
              <w:rPr>
                <w:rFonts w:eastAsia="宋体" w:cs="Times New Roman"/>
              </w:rPr>
              <w:t>6.67t/d</w:t>
            </w:r>
          </w:p>
        </w:tc>
        <w:tc>
          <w:tcPr>
            <w:tcW w:w="1930" w:type="dxa"/>
            <w:vAlign w:val="center"/>
          </w:tcPr>
          <w:p>
            <w:pPr>
              <w:pStyle w:val="30"/>
              <w:rPr>
                <w:rFonts w:eastAsia="宋体" w:cs="Times New Roman"/>
              </w:rPr>
            </w:pPr>
            <w:r>
              <w:rPr>
                <w:rFonts w:eastAsia="宋体" w:cs="Times New Roman"/>
              </w:rPr>
              <w:t>2021年10月24日</w:t>
            </w:r>
          </w:p>
        </w:tc>
        <w:tc>
          <w:tcPr>
            <w:tcW w:w="1131" w:type="dxa"/>
            <w:vAlign w:val="center"/>
          </w:tcPr>
          <w:p>
            <w:pPr>
              <w:pStyle w:val="30"/>
              <w:rPr>
                <w:rFonts w:eastAsia="宋体" w:cs="Times New Roman"/>
              </w:rPr>
            </w:pPr>
            <w:r>
              <w:rPr>
                <w:rFonts w:eastAsia="宋体" w:cs="Times New Roman"/>
              </w:rPr>
              <w:t>6t</w:t>
            </w:r>
          </w:p>
        </w:tc>
        <w:tc>
          <w:tcPr>
            <w:tcW w:w="1122" w:type="dxa"/>
            <w:vAlign w:val="center"/>
          </w:tcPr>
          <w:p>
            <w:pPr>
              <w:pStyle w:val="30"/>
              <w:rPr>
                <w:rFonts w:eastAsia="宋体" w:cs="Times New Roman"/>
              </w:rPr>
            </w:pPr>
            <w:r>
              <w:rPr>
                <w:rFonts w:eastAsia="宋体" w:cs="Times New Roma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8" w:type="dxa"/>
            <w:vMerge w:val="continue"/>
            <w:vAlign w:val="center"/>
          </w:tcPr>
          <w:p>
            <w:pPr>
              <w:pStyle w:val="30"/>
              <w:rPr>
                <w:rFonts w:eastAsia="宋体" w:cs="Times New Roman"/>
              </w:rPr>
            </w:pPr>
          </w:p>
        </w:tc>
        <w:tc>
          <w:tcPr>
            <w:tcW w:w="1701" w:type="dxa"/>
            <w:vMerge w:val="continue"/>
            <w:vAlign w:val="center"/>
          </w:tcPr>
          <w:p>
            <w:pPr>
              <w:pStyle w:val="30"/>
              <w:rPr>
                <w:rFonts w:eastAsia="宋体" w:cs="Times New Roman"/>
              </w:rPr>
            </w:pPr>
          </w:p>
        </w:tc>
        <w:tc>
          <w:tcPr>
            <w:tcW w:w="1333" w:type="dxa"/>
            <w:vMerge w:val="continue"/>
            <w:vAlign w:val="center"/>
          </w:tcPr>
          <w:p>
            <w:pPr>
              <w:pStyle w:val="30"/>
              <w:rPr>
                <w:rFonts w:eastAsia="宋体" w:cs="Times New Roman"/>
              </w:rPr>
            </w:pPr>
          </w:p>
        </w:tc>
        <w:tc>
          <w:tcPr>
            <w:tcW w:w="1930" w:type="dxa"/>
            <w:vAlign w:val="center"/>
          </w:tcPr>
          <w:p>
            <w:pPr>
              <w:pStyle w:val="30"/>
              <w:rPr>
                <w:rFonts w:eastAsia="宋体" w:cs="Times New Roman"/>
              </w:rPr>
            </w:pPr>
            <w:r>
              <w:rPr>
                <w:rFonts w:eastAsia="宋体" w:cs="Times New Roman"/>
              </w:rPr>
              <w:t>2021年10月</w:t>
            </w:r>
            <w:r>
              <w:rPr>
                <w:rFonts w:hint="eastAsia" w:eastAsia="宋体" w:cs="Times New Roman"/>
              </w:rPr>
              <w:t>2</w:t>
            </w:r>
            <w:r>
              <w:rPr>
                <w:rFonts w:eastAsia="宋体" w:cs="Times New Roman"/>
              </w:rPr>
              <w:t>5日</w:t>
            </w:r>
          </w:p>
        </w:tc>
        <w:tc>
          <w:tcPr>
            <w:tcW w:w="1131" w:type="dxa"/>
            <w:vAlign w:val="center"/>
          </w:tcPr>
          <w:p>
            <w:pPr>
              <w:pStyle w:val="30"/>
              <w:rPr>
                <w:rFonts w:eastAsia="宋体" w:cs="Times New Roman"/>
              </w:rPr>
            </w:pPr>
            <w:r>
              <w:rPr>
                <w:rFonts w:eastAsia="宋体" w:cs="Times New Roman"/>
              </w:rPr>
              <w:t>5.87t</w:t>
            </w:r>
          </w:p>
        </w:tc>
        <w:tc>
          <w:tcPr>
            <w:tcW w:w="1122" w:type="dxa"/>
            <w:vAlign w:val="center"/>
          </w:tcPr>
          <w:p>
            <w:pPr>
              <w:pStyle w:val="30"/>
              <w:rPr>
                <w:rFonts w:eastAsia="宋体" w:cs="Times New Roman"/>
              </w:rPr>
            </w:pPr>
            <w:r>
              <w:rPr>
                <w:rFonts w:eastAsia="宋体" w:cs="Times New Roman"/>
              </w:rPr>
              <w:t>88%</w:t>
            </w:r>
          </w:p>
        </w:tc>
      </w:tr>
    </w:tbl>
    <w:p>
      <w:pPr>
        <w:ind w:firstLine="482"/>
        <w:rPr>
          <w:rFonts w:eastAsia="宋体" w:cs="Times New Roman"/>
          <w:b/>
          <w:bCs/>
        </w:rPr>
      </w:pPr>
      <w:r>
        <w:rPr>
          <w:rFonts w:eastAsia="宋体" w:cs="Times New Roman"/>
          <w:b/>
          <w:bCs/>
        </w:rPr>
        <w:br w:type="page"/>
      </w:r>
    </w:p>
    <w:p>
      <w:pPr>
        <w:pStyle w:val="5"/>
        <w:rPr>
          <w:rFonts w:cs="Times New Roman"/>
        </w:rPr>
      </w:pPr>
      <w:r>
        <w:rPr>
          <w:rFonts w:cs="Times New Roman"/>
        </w:rPr>
        <w:t>附件</w:t>
      </w:r>
      <w:r>
        <w:rPr>
          <w:rFonts w:hint="eastAsia" w:cs="Times New Roman"/>
        </w:rPr>
        <w:t>7</w:t>
      </w:r>
      <w:r>
        <w:rPr>
          <w:rFonts w:cs="Times New Roman"/>
        </w:rPr>
        <w:t>生产设备</w:t>
      </w:r>
      <w:r>
        <w:rPr>
          <w:rFonts w:hint="eastAsia" w:cs="Times New Roman"/>
        </w:rPr>
        <w:t>一览</w:t>
      </w:r>
      <w:r>
        <w:rPr>
          <w:rFonts w:cs="Times New Roman"/>
        </w:rPr>
        <w:t>单</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721"/>
        <w:gridCol w:w="896"/>
        <w:gridCol w:w="1557"/>
        <w:gridCol w:w="1402"/>
        <w:gridCol w:w="1189"/>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序号</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设备名称</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单位</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本项目环评审批数量</w:t>
            </w:r>
          </w:p>
        </w:tc>
        <w:tc>
          <w:tcPr>
            <w:tcW w:w="803"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目前实际数量</w:t>
            </w:r>
          </w:p>
        </w:tc>
        <w:tc>
          <w:tcPr>
            <w:tcW w:w="681"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变化情况</w:t>
            </w:r>
          </w:p>
        </w:tc>
        <w:tc>
          <w:tcPr>
            <w:tcW w:w="681"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pPr>
            <w:r>
              <w:t>1</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pPr>
            <w:r>
              <w:t>精梳机</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pPr>
            <w:r>
              <w:t>台</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pPr>
            <w:r>
              <w:t>24</w:t>
            </w:r>
          </w:p>
        </w:tc>
        <w:tc>
          <w:tcPr>
            <w:tcW w:w="803" w:type="pct"/>
            <w:vAlign w:val="center"/>
          </w:tcPr>
          <w:p>
            <w:pPr>
              <w:pStyle w:val="42"/>
            </w:pPr>
            <w:r>
              <w:t>29</w:t>
            </w:r>
          </w:p>
        </w:tc>
        <w:tc>
          <w:tcPr>
            <w:tcW w:w="681" w:type="pct"/>
            <w:vAlign w:val="center"/>
          </w:tcPr>
          <w:p>
            <w:pPr>
              <w:pStyle w:val="42"/>
            </w:pPr>
            <w:r>
              <w:t>+5</w:t>
            </w:r>
          </w:p>
        </w:tc>
        <w:tc>
          <w:tcPr>
            <w:tcW w:w="681" w:type="pct"/>
            <w:vMerge w:val="restart"/>
            <w:vAlign w:val="center"/>
          </w:tcPr>
          <w:p>
            <w:pPr>
              <w:pStyle w:val="42"/>
            </w:pPr>
            <w:r>
              <w:t>本次验收项目相关设备情况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pPr>
            <w:r>
              <w:t>2</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pPr>
            <w:r>
              <w:t>针梳机</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pPr>
            <w:r>
              <w:t>台</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pPr>
            <w:r>
              <w:t>26</w:t>
            </w:r>
          </w:p>
        </w:tc>
        <w:tc>
          <w:tcPr>
            <w:tcW w:w="803" w:type="pct"/>
            <w:vAlign w:val="center"/>
          </w:tcPr>
          <w:p>
            <w:pPr>
              <w:pStyle w:val="42"/>
            </w:pPr>
            <w:r>
              <w:t>26</w:t>
            </w:r>
          </w:p>
        </w:tc>
        <w:tc>
          <w:tcPr>
            <w:tcW w:w="681" w:type="pct"/>
            <w:vAlign w:val="center"/>
          </w:tcPr>
          <w:p>
            <w:pPr>
              <w:pStyle w:val="42"/>
            </w:pPr>
            <w:r>
              <w:t>0</w:t>
            </w:r>
          </w:p>
        </w:tc>
        <w:tc>
          <w:tcPr>
            <w:tcW w:w="681" w:type="pct"/>
            <w:vMerge w:val="continue"/>
          </w:tcPr>
          <w:p>
            <w:pPr>
              <w:pStyle w:val="4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pPr>
            <w:r>
              <w:t>3</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pPr>
            <w:r>
              <w:t>梳毛机</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pPr>
            <w:r>
              <w:t>台</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pPr>
            <w:r>
              <w:t>8</w:t>
            </w:r>
          </w:p>
        </w:tc>
        <w:tc>
          <w:tcPr>
            <w:tcW w:w="803" w:type="pct"/>
            <w:vAlign w:val="center"/>
          </w:tcPr>
          <w:p>
            <w:pPr>
              <w:pStyle w:val="42"/>
            </w:pPr>
            <w:r>
              <w:t>8</w:t>
            </w:r>
          </w:p>
        </w:tc>
        <w:tc>
          <w:tcPr>
            <w:tcW w:w="681" w:type="pct"/>
            <w:vAlign w:val="center"/>
          </w:tcPr>
          <w:p>
            <w:pPr>
              <w:pStyle w:val="42"/>
            </w:pPr>
            <w:r>
              <w:t>0</w:t>
            </w:r>
          </w:p>
        </w:tc>
        <w:tc>
          <w:tcPr>
            <w:tcW w:w="681" w:type="pct"/>
            <w:vMerge w:val="continue"/>
          </w:tcPr>
          <w:p>
            <w:pPr>
              <w:pStyle w:val="4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pPr>
              <w:pStyle w:val="42"/>
            </w:pPr>
            <w:r>
              <w:t>4</w:t>
            </w:r>
          </w:p>
        </w:tc>
        <w:tc>
          <w:tcPr>
            <w:tcW w:w="986" w:type="pct"/>
            <w:tcBorders>
              <w:top w:val="single" w:color="auto" w:sz="4" w:space="0"/>
              <w:left w:val="single" w:color="auto" w:sz="4" w:space="0"/>
              <w:bottom w:val="single" w:color="auto" w:sz="4" w:space="0"/>
              <w:right w:val="single" w:color="auto" w:sz="4" w:space="0"/>
            </w:tcBorders>
            <w:vAlign w:val="center"/>
          </w:tcPr>
          <w:p>
            <w:pPr>
              <w:pStyle w:val="42"/>
            </w:pPr>
            <w:r>
              <w:t>和毛机</w:t>
            </w:r>
          </w:p>
        </w:tc>
        <w:tc>
          <w:tcPr>
            <w:tcW w:w="513" w:type="pct"/>
            <w:tcBorders>
              <w:top w:val="single" w:color="auto" w:sz="4" w:space="0"/>
              <w:left w:val="single" w:color="auto" w:sz="4" w:space="0"/>
              <w:bottom w:val="single" w:color="auto" w:sz="4" w:space="0"/>
              <w:right w:val="single" w:color="auto" w:sz="4" w:space="0"/>
            </w:tcBorders>
            <w:vAlign w:val="center"/>
          </w:tcPr>
          <w:p>
            <w:pPr>
              <w:pStyle w:val="42"/>
            </w:pPr>
            <w:r>
              <w:t>台</w:t>
            </w:r>
          </w:p>
        </w:tc>
        <w:tc>
          <w:tcPr>
            <w:tcW w:w="892" w:type="pct"/>
            <w:tcBorders>
              <w:top w:val="single" w:color="auto" w:sz="4" w:space="0"/>
              <w:left w:val="single" w:color="auto" w:sz="4" w:space="0"/>
              <w:bottom w:val="single" w:color="auto" w:sz="4" w:space="0"/>
              <w:right w:val="single" w:color="auto" w:sz="4" w:space="0"/>
            </w:tcBorders>
            <w:vAlign w:val="center"/>
          </w:tcPr>
          <w:p>
            <w:pPr>
              <w:pStyle w:val="42"/>
            </w:pPr>
            <w:r>
              <w:t>2</w:t>
            </w:r>
          </w:p>
        </w:tc>
        <w:tc>
          <w:tcPr>
            <w:tcW w:w="803" w:type="pct"/>
            <w:vAlign w:val="center"/>
          </w:tcPr>
          <w:p>
            <w:pPr>
              <w:pStyle w:val="42"/>
            </w:pPr>
            <w:r>
              <w:t>2</w:t>
            </w:r>
          </w:p>
        </w:tc>
        <w:tc>
          <w:tcPr>
            <w:tcW w:w="681" w:type="pct"/>
            <w:vAlign w:val="center"/>
          </w:tcPr>
          <w:p>
            <w:pPr>
              <w:pStyle w:val="42"/>
            </w:pPr>
            <w:r>
              <w:t>0</w:t>
            </w:r>
          </w:p>
        </w:tc>
        <w:tc>
          <w:tcPr>
            <w:tcW w:w="681" w:type="pct"/>
            <w:vMerge w:val="continue"/>
          </w:tcPr>
          <w:p>
            <w:pPr>
              <w:pStyle w:val="42"/>
            </w:pPr>
          </w:p>
        </w:tc>
      </w:tr>
    </w:tbl>
    <w:p>
      <w:pPr>
        <w:ind w:firstLine="482"/>
        <w:rPr>
          <w:rFonts w:eastAsia="宋体" w:cs="Times New Roman"/>
          <w:b/>
          <w:bCs/>
        </w:rPr>
      </w:pPr>
      <w:r>
        <w:rPr>
          <w:rFonts w:eastAsia="宋体" w:cs="Times New Roman"/>
          <w:b/>
          <w:bCs/>
        </w:rPr>
        <w:br w:type="page"/>
      </w:r>
    </w:p>
    <w:p>
      <w:pPr>
        <w:pStyle w:val="5"/>
        <w:rPr>
          <w:rFonts w:cs="Times New Roman"/>
        </w:rPr>
      </w:pPr>
      <w:r>
        <w:rPr>
          <w:rFonts w:cs="Times New Roman"/>
        </w:rPr>
        <w:t>附件</w:t>
      </w:r>
      <w:r>
        <w:rPr>
          <w:rFonts w:hint="eastAsia" w:cs="Times New Roman"/>
        </w:rPr>
        <w:t>8</w:t>
      </w:r>
      <w:r>
        <w:rPr>
          <w:rFonts w:cs="Times New Roman"/>
        </w:rPr>
        <w:t>原辅材料消耗统计表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1240"/>
        <w:gridCol w:w="1214"/>
        <w:gridCol w:w="1821"/>
        <w:gridCol w:w="1338"/>
        <w:gridCol w:w="1215"/>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序号</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原辅材料名称</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单位</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本项目环评审批年消耗量</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目前年消耗量</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原辅料消耗增减量</w:t>
            </w:r>
          </w:p>
        </w:tc>
        <w:tc>
          <w:tcPr>
            <w:tcW w:w="692" w:type="pct"/>
            <w:tcBorders>
              <w:top w:val="single" w:color="auto" w:sz="4" w:space="0"/>
              <w:left w:val="single" w:color="auto" w:sz="4" w:space="0"/>
              <w:bottom w:val="single" w:color="auto" w:sz="4" w:space="0"/>
              <w:right w:val="single" w:color="auto" w:sz="4" w:space="0"/>
            </w:tcBorders>
            <w:vAlign w:val="center"/>
          </w:tcPr>
          <w:p>
            <w:pPr>
              <w:pStyle w:val="42"/>
              <w:rPr>
                <w:b/>
                <w:bCs/>
              </w:rPr>
            </w:pPr>
            <w:r>
              <w:rPr>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1</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羊毛</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bCs/>
              </w:rP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1052.6</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1800</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+747.4</w:t>
            </w:r>
          </w:p>
        </w:tc>
        <w:tc>
          <w:tcPr>
            <w:tcW w:w="692" w:type="pct"/>
            <w:vMerge w:val="restart"/>
            <w:tcBorders>
              <w:top w:val="single" w:color="auto" w:sz="4" w:space="0"/>
              <w:left w:val="single" w:color="auto" w:sz="4" w:space="0"/>
              <w:right w:val="single" w:color="auto" w:sz="4" w:space="0"/>
            </w:tcBorders>
            <w:vAlign w:val="center"/>
          </w:tcPr>
          <w:p>
            <w:pPr>
              <w:pStyle w:val="42"/>
              <w:rPr>
                <w:lang w:bidi="ar"/>
              </w:rPr>
            </w:pPr>
            <w:r>
              <w:rPr>
                <w:lang w:bidi="ar"/>
              </w:rPr>
              <w:t>本次验收项目相关原辅材料消耗情况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2</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腈纶</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bCs/>
              </w:rP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531.9</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0</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rPr>
                <w:lang w:bidi="ar"/>
              </w:rPr>
            </w:pPr>
            <w:r>
              <w:rPr>
                <w:lang w:bidi="ar"/>
              </w:rPr>
              <w:t>-531.9</w:t>
            </w:r>
          </w:p>
        </w:tc>
        <w:tc>
          <w:tcPr>
            <w:tcW w:w="692" w:type="pct"/>
            <w:vMerge w:val="continue"/>
            <w:tcBorders>
              <w:left w:val="single" w:color="auto" w:sz="4" w:space="0"/>
              <w:right w:val="single" w:color="auto" w:sz="4" w:space="0"/>
            </w:tcBorders>
            <w:vAlign w:val="center"/>
          </w:tcPr>
          <w:p>
            <w:pPr>
              <w:pStyle w:val="42"/>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3</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涤纶</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rPr>
                <w:bCs/>
              </w:rP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pPr>
            <w:r>
              <w:t>531.9</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pPr>
            <w:r>
              <w:t>0</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-531.9</w:t>
            </w:r>
          </w:p>
        </w:tc>
        <w:tc>
          <w:tcPr>
            <w:tcW w:w="692" w:type="pct"/>
            <w:vMerge w:val="continue"/>
            <w:tcBorders>
              <w:left w:val="single" w:color="auto" w:sz="4" w:space="0"/>
              <w:right w:val="single" w:color="auto" w:sz="4" w:space="0"/>
            </w:tcBorders>
            <w:vAlign w:val="center"/>
          </w:tcPr>
          <w:p>
            <w:pPr>
              <w:pStyle w:val="4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4</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和毛油</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pPr>
            <w:r>
              <w:rPr>
                <w:szCs w:val="21"/>
              </w:rPr>
              <w:t>10</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szCs w:val="21"/>
              </w:rPr>
            </w:pPr>
            <w:r>
              <w:rPr>
                <w:rFonts w:hint="eastAsia"/>
                <w:szCs w:val="21"/>
              </w:rPr>
              <w:t>9.3</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rPr>
                <w:rFonts w:hint="eastAsia"/>
              </w:rPr>
              <w:t>-0.7</w:t>
            </w:r>
          </w:p>
        </w:tc>
        <w:tc>
          <w:tcPr>
            <w:tcW w:w="692" w:type="pct"/>
            <w:vMerge w:val="continue"/>
            <w:tcBorders>
              <w:left w:val="single" w:color="auto" w:sz="4" w:space="0"/>
              <w:right w:val="single" w:color="auto" w:sz="4" w:space="0"/>
            </w:tcBorders>
            <w:vAlign w:val="center"/>
          </w:tcPr>
          <w:p>
            <w:pPr>
              <w:pStyle w:val="4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5</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水</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t/a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pPr>
            <w:r>
              <w:t>3000</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szCs w:val="21"/>
              </w:rPr>
            </w:pPr>
            <w:r>
              <w:rPr>
                <w:rFonts w:hint="eastAsia"/>
                <w:szCs w:val="21"/>
              </w:rPr>
              <w:t>1048</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rPr>
                <w:rFonts w:hint="eastAsia"/>
              </w:rPr>
              <w:t>-1952</w:t>
            </w:r>
          </w:p>
        </w:tc>
        <w:tc>
          <w:tcPr>
            <w:tcW w:w="692" w:type="pct"/>
            <w:vMerge w:val="restart"/>
            <w:tcBorders>
              <w:left w:val="single" w:color="auto" w:sz="4" w:space="0"/>
              <w:right w:val="single" w:color="auto" w:sz="4" w:space="0"/>
            </w:tcBorders>
            <w:vAlign w:val="center"/>
          </w:tcPr>
          <w:p>
            <w:pPr>
              <w:pStyle w:val="42"/>
            </w:pPr>
            <w:r>
              <w:t>全厂能源消耗情况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tcBorders>
              <w:top w:val="single" w:color="auto" w:sz="4" w:space="0"/>
              <w:left w:val="single" w:color="auto" w:sz="4" w:space="0"/>
              <w:bottom w:val="single" w:color="auto" w:sz="4" w:space="0"/>
              <w:right w:val="single" w:color="auto" w:sz="4" w:space="0"/>
            </w:tcBorders>
            <w:vAlign w:val="center"/>
          </w:tcPr>
          <w:p>
            <w:pPr>
              <w:pStyle w:val="42"/>
            </w:pPr>
            <w:r>
              <w:t>6</w:t>
            </w:r>
          </w:p>
        </w:tc>
        <w:tc>
          <w:tcPr>
            <w:tcW w:w="711" w:type="pct"/>
            <w:tcBorders>
              <w:top w:val="single" w:color="auto" w:sz="4" w:space="0"/>
              <w:left w:val="single" w:color="auto" w:sz="4" w:space="0"/>
              <w:bottom w:val="single" w:color="auto" w:sz="4" w:space="0"/>
              <w:right w:val="single" w:color="auto" w:sz="4" w:space="0"/>
            </w:tcBorders>
            <w:vAlign w:val="center"/>
          </w:tcPr>
          <w:p>
            <w:pPr>
              <w:pStyle w:val="42"/>
            </w:pPr>
            <w:r>
              <w:t>电</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万kWh/a</w:t>
            </w:r>
          </w:p>
        </w:tc>
        <w:tc>
          <w:tcPr>
            <w:tcW w:w="1044" w:type="pct"/>
            <w:tcBorders>
              <w:top w:val="single" w:color="auto" w:sz="4" w:space="0"/>
              <w:left w:val="single" w:color="auto" w:sz="4" w:space="0"/>
              <w:bottom w:val="single" w:color="auto" w:sz="4" w:space="0"/>
              <w:right w:val="single" w:color="auto" w:sz="4" w:space="0"/>
            </w:tcBorders>
            <w:vAlign w:val="center"/>
          </w:tcPr>
          <w:p>
            <w:pPr>
              <w:pStyle w:val="42"/>
            </w:pPr>
            <w:r>
              <w:t>40</w:t>
            </w:r>
          </w:p>
        </w:tc>
        <w:tc>
          <w:tcPr>
            <w:tcW w:w="767" w:type="pct"/>
            <w:tcBorders>
              <w:top w:val="single" w:color="auto" w:sz="4" w:space="0"/>
              <w:left w:val="single" w:color="auto" w:sz="4" w:space="0"/>
              <w:bottom w:val="single" w:color="auto" w:sz="4" w:space="0"/>
              <w:right w:val="single" w:color="auto" w:sz="4" w:space="0"/>
            </w:tcBorders>
            <w:vAlign w:val="center"/>
          </w:tcPr>
          <w:p>
            <w:pPr>
              <w:pStyle w:val="42"/>
              <w:rPr>
                <w:szCs w:val="21"/>
              </w:rPr>
            </w:pPr>
            <w:r>
              <w:rPr>
                <w:szCs w:val="21"/>
              </w:rPr>
              <w:t>36.8</w:t>
            </w:r>
          </w:p>
        </w:tc>
        <w:tc>
          <w:tcPr>
            <w:tcW w:w="696" w:type="pct"/>
            <w:tcBorders>
              <w:top w:val="single" w:color="auto" w:sz="4" w:space="0"/>
              <w:left w:val="single" w:color="auto" w:sz="4" w:space="0"/>
              <w:bottom w:val="single" w:color="auto" w:sz="4" w:space="0"/>
              <w:right w:val="single" w:color="auto" w:sz="4" w:space="0"/>
            </w:tcBorders>
            <w:vAlign w:val="center"/>
          </w:tcPr>
          <w:p>
            <w:pPr>
              <w:pStyle w:val="42"/>
            </w:pPr>
            <w:r>
              <w:t>-3.2</w:t>
            </w:r>
          </w:p>
        </w:tc>
        <w:tc>
          <w:tcPr>
            <w:tcW w:w="692" w:type="pct"/>
            <w:vMerge w:val="continue"/>
            <w:tcBorders>
              <w:left w:val="single" w:color="auto" w:sz="4" w:space="0"/>
              <w:bottom w:val="single" w:color="auto" w:sz="4" w:space="0"/>
              <w:right w:val="single" w:color="auto" w:sz="4" w:space="0"/>
            </w:tcBorders>
            <w:vAlign w:val="center"/>
          </w:tcPr>
          <w:p>
            <w:pPr>
              <w:pStyle w:val="42"/>
            </w:pPr>
          </w:p>
        </w:tc>
      </w:tr>
    </w:tbl>
    <w:p>
      <w:pPr>
        <w:pStyle w:val="2"/>
        <w:ind w:left="480" w:firstLine="480"/>
        <w:rPr>
          <w:rFonts w:eastAsia="宋体" w:cs="Times New Roman"/>
        </w:rPr>
      </w:pPr>
    </w:p>
    <w:p>
      <w:pPr>
        <w:pStyle w:val="2"/>
        <w:ind w:left="480" w:firstLine="480"/>
        <w:jc w:val="right"/>
        <w:rPr>
          <w:rFonts w:eastAsia="宋体" w:cs="Times New Roman"/>
        </w:rPr>
      </w:pPr>
    </w:p>
    <w:p>
      <w:pPr>
        <w:pStyle w:val="31"/>
        <w:spacing w:before="166" w:beforeLines="50" w:after="33"/>
        <w:rPr>
          <w:rFonts w:eastAsia="宋体"/>
        </w:rPr>
        <w:sectPr>
          <w:headerReference r:id="rId27" w:type="default"/>
          <w:pgSz w:w="11906" w:h="16838"/>
          <w:pgMar w:top="1418" w:right="1701" w:bottom="1418" w:left="1701" w:header="851" w:footer="992" w:gutter="0"/>
          <w:pgNumType w:fmt="numberInDash"/>
          <w:cols w:space="0" w:num="1"/>
          <w:docGrid w:type="lines" w:linePitch="332" w:charSpace="0"/>
        </w:sectPr>
      </w:pPr>
    </w:p>
    <w:p>
      <w:pPr>
        <w:pStyle w:val="5"/>
        <w:rPr>
          <w:rFonts w:cs="Times New Roman"/>
        </w:rPr>
      </w:pPr>
      <w:r>
        <w:rPr>
          <w:rFonts w:cs="Times New Roman"/>
        </w:rPr>
        <w:t>附件</w:t>
      </w:r>
      <w:r>
        <w:rPr>
          <w:rFonts w:hint="eastAsia" w:cs="Times New Roman"/>
        </w:rPr>
        <w:t>9</w:t>
      </w:r>
      <w:r>
        <w:rPr>
          <w:rFonts w:cs="Times New Roman"/>
        </w:rPr>
        <w:t>环境管理规章制度</w:t>
      </w:r>
    </w:p>
    <w:p>
      <w:pPr>
        <w:ind w:firstLine="0" w:firstLineChars="0"/>
        <w:jc w:val="center"/>
        <w:rPr>
          <w:rFonts w:eastAsia="宋体" w:cs="Times New Roman"/>
        </w:rPr>
      </w:pPr>
      <w:r>
        <w:rPr>
          <w:rFonts w:eastAsia="宋体" w:cs="Times New Roman"/>
        </w:rPr>
        <w:drawing>
          <wp:inline distT="0" distB="0" distL="114300" distR="114300">
            <wp:extent cx="5396865" cy="7633970"/>
            <wp:effectExtent l="0" t="0" r="13335" b="5080"/>
            <wp:docPr id="26" name="图片 26" descr="文字文稿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文字文稿1_01"/>
                    <pic:cNvPicPr>
                      <a:picLocks noChangeAspect="1"/>
                    </pic:cNvPicPr>
                  </pic:nvPicPr>
                  <pic:blipFill>
                    <a:blip r:embed="rId55"/>
                    <a:stretch>
                      <a:fillRect/>
                    </a:stretch>
                  </pic:blipFill>
                  <pic:spPr>
                    <a:xfrm>
                      <a:off x="0" y="0"/>
                      <a:ext cx="5396865" cy="7633970"/>
                    </a:xfrm>
                    <a:prstGeom prst="rect">
                      <a:avLst/>
                    </a:prstGeom>
                  </pic:spPr>
                </pic:pic>
              </a:graphicData>
            </a:graphic>
          </wp:inline>
        </w:drawing>
      </w:r>
    </w:p>
    <w:p>
      <w:pPr>
        <w:pStyle w:val="2"/>
        <w:ind w:left="0" w:leftChars="0" w:firstLine="0" w:firstLineChars="0"/>
        <w:rPr>
          <w:rFonts w:eastAsia="宋体" w:cs="Times New Roman"/>
        </w:rPr>
        <w:sectPr>
          <w:pgSz w:w="11906" w:h="16838"/>
          <w:pgMar w:top="1418" w:right="1701" w:bottom="1418" w:left="1701" w:header="851" w:footer="992" w:gutter="0"/>
          <w:pgNumType w:fmt="numberInDash"/>
          <w:cols w:space="0" w:num="1"/>
          <w:docGrid w:type="lines" w:linePitch="332" w:charSpace="0"/>
        </w:sectPr>
      </w:pPr>
      <w:r>
        <w:rPr>
          <w:rFonts w:eastAsia="宋体" w:cs="Times New Roman"/>
        </w:rPr>
        <w:drawing>
          <wp:inline distT="0" distB="0" distL="114300" distR="114300">
            <wp:extent cx="5396865" cy="7633970"/>
            <wp:effectExtent l="0" t="0" r="13335" b="5080"/>
            <wp:docPr id="27" name="图片 27" descr="文字文稿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文字文稿1_02"/>
                    <pic:cNvPicPr>
                      <a:picLocks noChangeAspect="1"/>
                    </pic:cNvPicPr>
                  </pic:nvPicPr>
                  <pic:blipFill>
                    <a:blip r:embed="rId56"/>
                    <a:stretch>
                      <a:fillRect/>
                    </a:stretch>
                  </pic:blipFill>
                  <pic:spPr>
                    <a:xfrm>
                      <a:off x="0" y="0"/>
                      <a:ext cx="5396865" cy="7633970"/>
                    </a:xfrm>
                    <a:prstGeom prst="rect">
                      <a:avLst/>
                    </a:prstGeom>
                  </pic:spPr>
                </pic:pic>
              </a:graphicData>
            </a:graphic>
          </wp:inline>
        </w:drawing>
      </w:r>
    </w:p>
    <w:p>
      <w:pPr>
        <w:pStyle w:val="4"/>
        <w:bidi w:val="0"/>
        <w:rPr>
          <w:rFonts w:hint="eastAsia" w:eastAsia="宋体" w:cs="Times New Roman"/>
        </w:rPr>
        <w:sectPr>
          <w:pgSz w:w="11906" w:h="16838"/>
          <w:pgMar w:top="1418" w:right="1701" w:bottom="1418" w:left="1701" w:header="851" w:footer="992" w:gutter="0"/>
          <w:pgNumType w:fmt="numberInDash"/>
          <w:cols w:space="0" w:num="1"/>
          <w:docGrid w:type="lines" w:linePitch="332" w:charSpace="0"/>
        </w:sectPr>
      </w:pPr>
      <w:r>
        <w:rPr>
          <w:rFonts w:hint="eastAsia" w:eastAsia="宋体" w:cs="Times New Roman"/>
        </w:rPr>
        <w:drawing>
          <wp:inline distT="0" distB="0" distL="114300" distR="114300">
            <wp:extent cx="5396865" cy="7633970"/>
            <wp:effectExtent l="0" t="0" r="13335" b="5080"/>
            <wp:docPr id="28" name="图片 28" descr="文字文稿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文字文稿1_03"/>
                    <pic:cNvPicPr>
                      <a:picLocks noChangeAspect="1"/>
                    </pic:cNvPicPr>
                  </pic:nvPicPr>
                  <pic:blipFill>
                    <a:blip r:embed="rId57"/>
                    <a:stretch>
                      <a:fillRect/>
                    </a:stretch>
                  </pic:blipFill>
                  <pic:spPr>
                    <a:xfrm>
                      <a:off x="0" y="0"/>
                      <a:ext cx="5396865" cy="7633970"/>
                    </a:xfrm>
                    <a:prstGeom prst="rect">
                      <a:avLst/>
                    </a:prstGeom>
                  </pic:spPr>
                </pic:pic>
              </a:graphicData>
            </a:graphic>
          </wp:inline>
        </w:drawing>
      </w:r>
    </w:p>
    <w:p>
      <w:pPr>
        <w:pStyle w:val="4"/>
        <w:bidi w:val="0"/>
        <w:rPr>
          <w:rFonts w:hint="eastAsia"/>
          <w:lang w:val="en-US" w:eastAsia="zh-CN"/>
        </w:rPr>
        <w:sectPr>
          <w:pgSz w:w="11906" w:h="16838"/>
          <w:pgMar w:top="1418" w:right="1701" w:bottom="1418" w:left="1701" w:header="851" w:footer="992" w:gutter="0"/>
          <w:pgNumType w:fmt="numberInDash"/>
          <w:cols w:space="0" w:num="1"/>
          <w:docGrid w:type="lines" w:linePitch="332" w:charSpace="0"/>
        </w:sectPr>
      </w:pPr>
      <w:r>
        <w:rPr>
          <w:rFonts w:hint="eastAsia"/>
          <w:lang w:val="en-US" w:eastAsia="zh-CN"/>
        </w:rPr>
        <w:t>验收意见</w:t>
      </w:r>
      <w:r>
        <w:rPr>
          <w:rFonts w:hint="eastAsia"/>
          <w:lang w:val="en-US" w:eastAsia="zh-CN"/>
        </w:rPr>
        <w:drawing>
          <wp:inline distT="0" distB="0" distL="114300" distR="114300">
            <wp:extent cx="5396865" cy="7633970"/>
            <wp:effectExtent l="0" t="0" r="13335" b="5080"/>
            <wp:docPr id="22" name="图片 22" descr="11.18允源-三同时竣工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1.18允源-三同时竣工验收意见_01"/>
                    <pic:cNvPicPr>
                      <a:picLocks noChangeAspect="1"/>
                    </pic:cNvPicPr>
                  </pic:nvPicPr>
                  <pic:blipFill>
                    <a:blip r:embed="rId58"/>
                    <a:stretch>
                      <a:fillRect/>
                    </a:stretch>
                  </pic:blipFill>
                  <pic:spPr>
                    <a:xfrm>
                      <a:off x="0" y="0"/>
                      <a:ext cx="5396865" cy="7633970"/>
                    </a:xfrm>
                    <a:prstGeom prst="rect">
                      <a:avLst/>
                    </a:prstGeom>
                  </pic:spPr>
                </pic:pic>
              </a:graphicData>
            </a:graphic>
          </wp:inline>
        </w:drawing>
      </w:r>
      <w:r>
        <w:rPr>
          <w:rFonts w:hint="eastAsia"/>
          <w:lang w:val="en-US" w:eastAsia="zh-CN"/>
        </w:rPr>
        <w:drawing>
          <wp:inline distT="0" distB="0" distL="114300" distR="114300">
            <wp:extent cx="5396865" cy="7633970"/>
            <wp:effectExtent l="0" t="0" r="13335" b="5080"/>
            <wp:docPr id="23" name="图片 23" descr="11.18允源-三同时竣工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1.18允源-三同时竣工验收意见_02"/>
                    <pic:cNvPicPr>
                      <a:picLocks noChangeAspect="1"/>
                    </pic:cNvPicPr>
                  </pic:nvPicPr>
                  <pic:blipFill>
                    <a:blip r:embed="rId59"/>
                    <a:stretch>
                      <a:fillRect/>
                    </a:stretch>
                  </pic:blipFill>
                  <pic:spPr>
                    <a:xfrm>
                      <a:off x="0" y="0"/>
                      <a:ext cx="5396865" cy="7633970"/>
                    </a:xfrm>
                    <a:prstGeom prst="rect">
                      <a:avLst/>
                    </a:prstGeom>
                  </pic:spPr>
                </pic:pic>
              </a:graphicData>
            </a:graphic>
          </wp:inline>
        </w:drawing>
      </w:r>
      <w:r>
        <w:rPr>
          <w:rFonts w:hint="eastAsia"/>
          <w:lang w:val="en-US" w:eastAsia="zh-CN"/>
        </w:rPr>
        <w:drawing>
          <wp:inline distT="0" distB="0" distL="114300" distR="114300">
            <wp:extent cx="5396865" cy="7633970"/>
            <wp:effectExtent l="0" t="0" r="13335" b="5080"/>
            <wp:docPr id="29" name="图片 29" descr="11.18允源-三同时竣工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1.18允源-三同时竣工验收意见_03"/>
                    <pic:cNvPicPr>
                      <a:picLocks noChangeAspect="1"/>
                    </pic:cNvPicPr>
                  </pic:nvPicPr>
                  <pic:blipFill>
                    <a:blip r:embed="rId60"/>
                    <a:stretch>
                      <a:fillRect/>
                    </a:stretch>
                  </pic:blipFill>
                  <pic:spPr>
                    <a:xfrm>
                      <a:off x="0" y="0"/>
                      <a:ext cx="5396865" cy="7633970"/>
                    </a:xfrm>
                    <a:prstGeom prst="rect">
                      <a:avLst/>
                    </a:prstGeom>
                  </pic:spPr>
                </pic:pic>
              </a:graphicData>
            </a:graphic>
          </wp:inline>
        </w:drawing>
      </w:r>
      <w:r>
        <w:rPr>
          <w:rFonts w:hint="eastAsia"/>
          <w:lang w:val="en-US" w:eastAsia="zh-CN"/>
        </w:rPr>
        <w:drawing>
          <wp:inline distT="0" distB="0" distL="114300" distR="114300">
            <wp:extent cx="5396865" cy="7633970"/>
            <wp:effectExtent l="0" t="0" r="13335" b="5080"/>
            <wp:docPr id="34" name="图片 34" descr="11.18允源-三同时竣工验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1.18允源-三同时竣工验收意见_04"/>
                    <pic:cNvPicPr>
                      <a:picLocks noChangeAspect="1"/>
                    </pic:cNvPicPr>
                  </pic:nvPicPr>
                  <pic:blipFill>
                    <a:blip r:embed="rId61"/>
                    <a:stretch>
                      <a:fillRect/>
                    </a:stretch>
                  </pic:blipFill>
                  <pic:spPr>
                    <a:xfrm>
                      <a:off x="0" y="0"/>
                      <a:ext cx="5396865" cy="7633970"/>
                    </a:xfrm>
                    <a:prstGeom prst="rect">
                      <a:avLst/>
                    </a:prstGeom>
                  </pic:spPr>
                </pic:pic>
              </a:graphicData>
            </a:graphic>
          </wp:inline>
        </w:drawing>
      </w:r>
      <w:r>
        <w:rPr>
          <w:rFonts w:hint="eastAsia"/>
          <w:lang w:val="en-US" w:eastAsia="zh-CN"/>
        </w:rPr>
        <w:drawing>
          <wp:inline distT="0" distB="0" distL="114300" distR="114300">
            <wp:extent cx="5396865" cy="7633970"/>
            <wp:effectExtent l="0" t="0" r="13335" b="5080"/>
            <wp:docPr id="35" name="图片 35" descr="11.18允源-三同时竣工验收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1.18允源-三同时竣工验收意见_05"/>
                    <pic:cNvPicPr>
                      <a:picLocks noChangeAspect="1"/>
                    </pic:cNvPicPr>
                  </pic:nvPicPr>
                  <pic:blipFill>
                    <a:blip r:embed="rId62"/>
                    <a:stretch>
                      <a:fillRect/>
                    </a:stretch>
                  </pic:blipFill>
                  <pic:spPr>
                    <a:xfrm>
                      <a:off x="0" y="0"/>
                      <a:ext cx="5396865" cy="7633970"/>
                    </a:xfrm>
                    <a:prstGeom prst="rect">
                      <a:avLst/>
                    </a:prstGeom>
                  </pic:spPr>
                </pic:pic>
              </a:graphicData>
            </a:graphic>
          </wp:inline>
        </w:drawing>
      </w:r>
      <w:r>
        <w:rPr>
          <w:rFonts w:hint="eastAsia"/>
          <w:lang w:val="en-US" w:eastAsia="zh-CN"/>
        </w:rPr>
        <w:drawing>
          <wp:inline distT="0" distB="0" distL="114300" distR="114300">
            <wp:extent cx="5400040" cy="7643495"/>
            <wp:effectExtent l="0" t="0" r="10160" b="14605"/>
            <wp:docPr id="36" name="图片 36" descr="收据_2021-11-18_17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收据_2021-11-18_170936"/>
                    <pic:cNvPicPr>
                      <a:picLocks noChangeAspect="1"/>
                    </pic:cNvPicPr>
                  </pic:nvPicPr>
                  <pic:blipFill>
                    <a:blip r:embed="rId63"/>
                    <a:stretch>
                      <a:fillRect/>
                    </a:stretch>
                  </pic:blipFill>
                  <pic:spPr>
                    <a:xfrm rot="10800000">
                      <a:off x="0" y="0"/>
                      <a:ext cx="5400040" cy="7643495"/>
                    </a:xfrm>
                    <a:prstGeom prst="rect">
                      <a:avLst/>
                    </a:prstGeom>
                  </pic:spPr>
                </pic:pic>
              </a:graphicData>
            </a:graphic>
          </wp:inline>
        </w:drawing>
      </w:r>
    </w:p>
    <w:p>
      <w:pPr>
        <w:pStyle w:val="4"/>
        <w:bidi w:val="0"/>
        <w:rPr>
          <w:rFonts w:hint="eastAsia"/>
          <w:lang w:val="en-US" w:eastAsia="zh-CN"/>
        </w:rPr>
      </w:pPr>
      <w:r>
        <w:rPr>
          <w:rFonts w:hint="eastAsia"/>
          <w:lang w:val="en-US" w:eastAsia="zh-CN"/>
        </w:rPr>
        <w:t>验收意见修改清单</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3685"/>
        <w:gridCol w:w="38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ind w:firstLine="0" w:firstLineChars="0"/>
              <w:jc w:val="center"/>
              <w:rPr>
                <w:b/>
                <w:bCs/>
              </w:rPr>
            </w:pPr>
            <w:r>
              <w:rPr>
                <w:rFonts w:hint="eastAsia"/>
                <w:b/>
                <w:bCs/>
              </w:rPr>
              <w:t>序号</w:t>
            </w:r>
          </w:p>
        </w:tc>
        <w:tc>
          <w:tcPr>
            <w:tcW w:w="3685" w:type="dxa"/>
            <w:vAlign w:val="center"/>
          </w:tcPr>
          <w:p>
            <w:pPr>
              <w:ind w:firstLine="0" w:firstLineChars="0"/>
              <w:jc w:val="center"/>
              <w:rPr>
                <w:b/>
                <w:bCs/>
              </w:rPr>
            </w:pPr>
            <w:r>
              <w:rPr>
                <w:rFonts w:hint="eastAsia"/>
                <w:b/>
                <w:bCs/>
              </w:rPr>
              <w:t>验收意见</w:t>
            </w:r>
          </w:p>
        </w:tc>
        <w:tc>
          <w:tcPr>
            <w:tcW w:w="3821" w:type="dxa"/>
            <w:vAlign w:val="center"/>
          </w:tcPr>
          <w:p>
            <w:pPr>
              <w:ind w:firstLine="0" w:firstLineChars="0"/>
              <w:jc w:val="center"/>
              <w:rPr>
                <w:b/>
                <w:bCs/>
              </w:rPr>
            </w:pPr>
            <w:r>
              <w:rPr>
                <w:rFonts w:hint="eastAsia"/>
                <w:b/>
                <w:bCs/>
              </w:rPr>
              <w:t>修改情况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ind w:firstLine="0" w:firstLineChars="0"/>
              <w:jc w:val="center"/>
            </w:pPr>
            <w:r>
              <w:rPr>
                <w:rFonts w:hint="eastAsia"/>
              </w:rPr>
              <w:t>1</w:t>
            </w:r>
          </w:p>
        </w:tc>
        <w:tc>
          <w:tcPr>
            <w:tcW w:w="3685" w:type="dxa"/>
            <w:vAlign w:val="center"/>
          </w:tcPr>
          <w:p>
            <w:pPr>
              <w:ind w:firstLine="0" w:firstLineChars="0"/>
            </w:pPr>
            <w:r>
              <w:rPr>
                <w:rFonts w:hint="eastAsia"/>
              </w:rPr>
              <w:t>更新完善编制依据</w:t>
            </w:r>
          </w:p>
        </w:tc>
        <w:tc>
          <w:tcPr>
            <w:tcW w:w="3821" w:type="dxa"/>
            <w:vAlign w:val="center"/>
          </w:tcPr>
          <w:p>
            <w:pPr>
              <w:ind w:firstLine="0" w:firstLineChars="0"/>
            </w:pPr>
            <w:r>
              <w:rPr>
                <w:rFonts w:hint="eastAsia"/>
              </w:rPr>
              <w:t>已完善编制依据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ind w:firstLine="0" w:firstLineChars="0"/>
              <w:jc w:val="center"/>
            </w:pPr>
            <w:r>
              <w:rPr>
                <w:rFonts w:hint="eastAsia"/>
              </w:rPr>
              <w:t>2</w:t>
            </w:r>
          </w:p>
        </w:tc>
        <w:tc>
          <w:tcPr>
            <w:tcW w:w="3685" w:type="dxa"/>
            <w:vAlign w:val="center"/>
          </w:tcPr>
          <w:p>
            <w:pPr>
              <w:ind w:firstLine="0" w:firstLineChars="0"/>
            </w:pPr>
            <w:r>
              <w:rPr>
                <w:rFonts w:hint="eastAsia"/>
              </w:rPr>
              <w:t>完善总量控制符合性分析</w:t>
            </w:r>
          </w:p>
        </w:tc>
        <w:tc>
          <w:tcPr>
            <w:tcW w:w="3821" w:type="dxa"/>
            <w:vAlign w:val="center"/>
          </w:tcPr>
          <w:p>
            <w:pPr>
              <w:ind w:firstLine="0" w:firstLineChars="0"/>
            </w:pPr>
            <w:r>
              <w:rPr>
                <w:rFonts w:hint="eastAsia"/>
              </w:rPr>
              <w:t>已完善总量控制指标符合性分析，本项目总量控制指标均在环评审批范围内，符合总量控制要求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Align w:val="center"/>
          </w:tcPr>
          <w:p>
            <w:pPr>
              <w:ind w:firstLine="0" w:firstLineChars="0"/>
              <w:jc w:val="center"/>
            </w:pPr>
            <w:r>
              <w:rPr>
                <w:rFonts w:hint="eastAsia"/>
              </w:rPr>
              <w:t>3</w:t>
            </w:r>
          </w:p>
        </w:tc>
        <w:tc>
          <w:tcPr>
            <w:tcW w:w="3685" w:type="dxa"/>
            <w:vAlign w:val="center"/>
          </w:tcPr>
          <w:p>
            <w:pPr>
              <w:ind w:firstLine="0" w:firstLineChars="0"/>
            </w:pPr>
            <w:r>
              <w:rPr>
                <w:rFonts w:hint="eastAsia"/>
              </w:rPr>
              <w:t>完善项目环评及批复内容与企业目前实际落实情况的对照分析</w:t>
            </w:r>
          </w:p>
        </w:tc>
        <w:tc>
          <w:tcPr>
            <w:tcW w:w="3821" w:type="dxa"/>
            <w:vAlign w:val="center"/>
          </w:tcPr>
          <w:p>
            <w:pPr>
              <w:ind w:firstLine="0" w:firstLineChars="0"/>
            </w:pPr>
            <w:r>
              <w:rPr>
                <w:rFonts w:hint="eastAsia"/>
              </w:rPr>
              <w:t>已完善项目环评及批复内容与公司目前实际落实情况的对照分析</w:t>
            </w:r>
          </w:p>
        </w:tc>
      </w:tr>
    </w:tbl>
    <w:p>
      <w:pPr>
        <w:rPr>
          <w:rFonts w:hint="eastAsia"/>
          <w:lang w:val="en-US" w:eastAsia="zh-CN"/>
        </w:rPr>
        <w:sectPr>
          <w:pgSz w:w="11906" w:h="16838"/>
          <w:pgMar w:top="1418" w:right="1701" w:bottom="1418" w:left="1701" w:header="851" w:footer="992" w:gutter="0"/>
          <w:pgNumType w:fmt="numberInDash"/>
          <w:cols w:space="0" w:num="1"/>
          <w:docGrid w:type="lines" w:linePitch="332" w:charSpace="0"/>
        </w:sectPr>
      </w:pPr>
    </w:p>
    <w:p>
      <w:pPr>
        <w:pStyle w:val="4"/>
        <w:bidi w:val="0"/>
        <w:rPr>
          <w:rFonts w:hint="default"/>
          <w:lang w:val="en-US" w:eastAsia="zh-CN"/>
        </w:rPr>
        <w:sectPr>
          <w:pgSz w:w="11906" w:h="16838"/>
          <w:pgMar w:top="1418" w:right="1701" w:bottom="1418" w:left="1701" w:header="851" w:footer="992" w:gutter="0"/>
          <w:pgNumType w:fmt="numberInDash"/>
          <w:cols w:space="0" w:num="1"/>
          <w:docGrid w:type="lines" w:linePitch="332" w:charSpace="0"/>
        </w:sectPr>
      </w:pPr>
      <w:r>
        <w:rPr>
          <w:rFonts w:hint="eastAsia"/>
          <w:lang w:val="en-US" w:eastAsia="zh-CN"/>
        </w:rPr>
        <w:t>其他情况说明</w:t>
      </w:r>
      <w:r>
        <w:rPr>
          <w:rFonts w:hint="default"/>
          <w:lang w:val="en-US" w:eastAsia="zh-CN"/>
        </w:rPr>
        <w:drawing>
          <wp:inline distT="0" distB="0" distL="114300" distR="114300">
            <wp:extent cx="5396865" cy="7633970"/>
            <wp:effectExtent l="0" t="0" r="13335" b="5080"/>
            <wp:docPr id="37" name="图片 37" descr="浙江允源毛纺股份有限公司年产2000吨毛条新建项目其他情况说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浙江允源毛纺股份有限公司年产2000吨毛条新建项目其他情况说明_01"/>
                    <pic:cNvPicPr>
                      <a:picLocks noChangeAspect="1"/>
                    </pic:cNvPicPr>
                  </pic:nvPicPr>
                  <pic:blipFill>
                    <a:blip r:embed="rId64"/>
                    <a:stretch>
                      <a:fillRect/>
                    </a:stretch>
                  </pic:blipFill>
                  <pic:spPr>
                    <a:xfrm>
                      <a:off x="0" y="0"/>
                      <a:ext cx="5396865" cy="7633970"/>
                    </a:xfrm>
                    <a:prstGeom prst="rect">
                      <a:avLst/>
                    </a:prstGeom>
                  </pic:spPr>
                </pic:pic>
              </a:graphicData>
            </a:graphic>
          </wp:inline>
        </w:drawing>
      </w:r>
      <w:r>
        <w:rPr>
          <w:rFonts w:hint="default"/>
          <w:lang w:val="en-US" w:eastAsia="zh-CN"/>
        </w:rPr>
        <w:drawing>
          <wp:inline distT="0" distB="0" distL="114300" distR="114300">
            <wp:extent cx="5396865" cy="7633970"/>
            <wp:effectExtent l="0" t="0" r="13335" b="5080"/>
            <wp:docPr id="38" name="图片 38" descr="浙江允源毛纺股份有限公司年产2000吨毛条新建项目其他情况说明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浙江允源毛纺股份有限公司年产2000吨毛条新建项目其他情况说明_02"/>
                    <pic:cNvPicPr>
                      <a:picLocks noChangeAspect="1"/>
                    </pic:cNvPicPr>
                  </pic:nvPicPr>
                  <pic:blipFill>
                    <a:blip r:embed="rId65"/>
                    <a:stretch>
                      <a:fillRect/>
                    </a:stretch>
                  </pic:blipFill>
                  <pic:spPr>
                    <a:xfrm>
                      <a:off x="0" y="0"/>
                      <a:ext cx="5396865" cy="7633970"/>
                    </a:xfrm>
                    <a:prstGeom prst="rect">
                      <a:avLst/>
                    </a:prstGeom>
                  </pic:spPr>
                </pic:pic>
              </a:graphicData>
            </a:graphic>
          </wp:inline>
        </w:drawing>
      </w:r>
    </w:p>
    <w:p>
      <w:pPr>
        <w:pStyle w:val="2"/>
        <w:ind w:left="0" w:leftChars="0" w:firstLine="0" w:firstLineChars="0"/>
        <w:jc w:val="center"/>
        <w:rPr>
          <w:rFonts w:hint="default"/>
          <w:lang w:val="en-US" w:eastAsia="zh-CN"/>
        </w:rPr>
        <w:sectPr>
          <w:pgSz w:w="16838" w:h="11906" w:orient="landscape"/>
          <w:pgMar w:top="1701" w:right="1418" w:bottom="1701" w:left="1418" w:header="851" w:footer="992" w:gutter="0"/>
          <w:pgNumType w:fmt="numberInDash"/>
          <w:cols w:space="0" w:num="1"/>
          <w:docGrid w:type="lines" w:linePitch="332" w:charSpace="0"/>
        </w:sectPr>
      </w:pPr>
      <w:r>
        <w:rPr>
          <w:rFonts w:hint="default"/>
          <w:lang w:val="en-US" w:eastAsia="zh-CN"/>
        </w:rPr>
        <w:drawing>
          <wp:inline distT="0" distB="0" distL="114300" distR="114300">
            <wp:extent cx="7181215" cy="5386070"/>
            <wp:effectExtent l="0" t="0" r="635" b="5080"/>
            <wp:docPr id="5" name="图片 5" descr="cd6ca7095d67b75920240e3fd142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d6ca7095d67b75920240e3fd1426da"/>
                    <pic:cNvPicPr>
                      <a:picLocks noChangeAspect="1"/>
                    </pic:cNvPicPr>
                  </pic:nvPicPr>
                  <pic:blipFill>
                    <a:blip r:embed="rId66"/>
                    <a:stretch>
                      <a:fillRect/>
                    </a:stretch>
                  </pic:blipFill>
                  <pic:spPr>
                    <a:xfrm>
                      <a:off x="0" y="0"/>
                      <a:ext cx="7181215" cy="5386070"/>
                    </a:xfrm>
                    <a:prstGeom prst="rect">
                      <a:avLst/>
                    </a:prstGeom>
                  </pic:spPr>
                </pic:pic>
              </a:graphicData>
            </a:graphic>
          </wp:inline>
        </w:drawing>
      </w:r>
      <w:bookmarkStart w:id="102" w:name="_GoBack"/>
      <w:bookmarkEnd w:id="102"/>
    </w:p>
    <w:p>
      <w:pPr>
        <w:pStyle w:val="2"/>
        <w:ind w:left="0" w:leftChars="0" w:firstLine="0" w:firstLineChars="0"/>
        <w:jc w:val="center"/>
        <w:rPr>
          <w:rFonts w:eastAsia="宋体" w:cs="Times New Roman"/>
        </w:rPr>
      </w:pPr>
      <w:r>
        <w:rPr>
          <w:rFonts w:hint="default"/>
          <w:lang w:val="en-US" w:eastAsia="zh-CN"/>
        </w:rPr>
        <w:drawing>
          <wp:inline distT="0" distB="0" distL="114300" distR="114300">
            <wp:extent cx="7181215" cy="5386070"/>
            <wp:effectExtent l="0" t="0" r="635" b="5080"/>
            <wp:docPr id="41" name="图片 41" descr="cd6ca7095d67b75920240e3fd142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d6ca7095d67b75920240e3fd1426da"/>
                    <pic:cNvPicPr>
                      <a:picLocks noChangeAspect="1"/>
                    </pic:cNvPicPr>
                  </pic:nvPicPr>
                  <pic:blipFill>
                    <a:blip r:embed="rId66"/>
                    <a:stretch>
                      <a:fillRect/>
                    </a:stretch>
                  </pic:blipFill>
                  <pic:spPr>
                    <a:xfrm>
                      <a:off x="0" y="0"/>
                      <a:ext cx="7181215" cy="5386070"/>
                    </a:xfrm>
                    <a:prstGeom prst="rect">
                      <a:avLst/>
                    </a:prstGeom>
                  </pic:spPr>
                </pic:pic>
              </a:graphicData>
            </a:graphic>
          </wp:inline>
        </w:drawing>
      </w:r>
      <w:r>
        <w:rPr>
          <w:rFonts w:hint="default"/>
          <w:lang w:val="en-US" w:eastAsia="zh-CN"/>
        </w:rPr>
        <w:drawing>
          <wp:inline distT="0" distB="0" distL="114300" distR="114300">
            <wp:extent cx="7181215" cy="5386070"/>
            <wp:effectExtent l="0" t="0" r="635" b="5080"/>
            <wp:docPr id="42" name="图片 42" descr="ca52421b43ebe00a4548084c38a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a52421b43ebe00a4548084c38a2444"/>
                    <pic:cNvPicPr>
                      <a:picLocks noChangeAspect="1"/>
                    </pic:cNvPicPr>
                  </pic:nvPicPr>
                  <pic:blipFill>
                    <a:blip r:embed="rId67"/>
                    <a:stretch>
                      <a:fillRect/>
                    </a:stretch>
                  </pic:blipFill>
                  <pic:spPr>
                    <a:xfrm>
                      <a:off x="0" y="0"/>
                      <a:ext cx="7181215" cy="5386070"/>
                    </a:xfrm>
                    <a:prstGeom prst="rect">
                      <a:avLst/>
                    </a:prstGeom>
                  </pic:spPr>
                </pic:pic>
              </a:graphicData>
            </a:graphic>
          </wp:inline>
        </w:drawing>
      </w:r>
      <w:r>
        <w:rPr>
          <w:rFonts w:hint="default"/>
          <w:lang w:val="en-US" w:eastAsia="zh-CN"/>
        </w:rPr>
        <w:drawing>
          <wp:inline distT="0" distB="0" distL="114300" distR="114300">
            <wp:extent cx="7181215" cy="5386070"/>
            <wp:effectExtent l="0" t="0" r="635" b="5080"/>
            <wp:docPr id="43" name="图片 43" descr="e2936c6a448139f90144cb16cd0c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e2936c6a448139f90144cb16cd0c974"/>
                    <pic:cNvPicPr>
                      <a:picLocks noChangeAspect="1"/>
                    </pic:cNvPicPr>
                  </pic:nvPicPr>
                  <pic:blipFill>
                    <a:blip r:embed="rId68"/>
                    <a:stretch>
                      <a:fillRect/>
                    </a:stretch>
                  </pic:blipFill>
                  <pic:spPr>
                    <a:xfrm>
                      <a:off x="0" y="0"/>
                      <a:ext cx="7181215" cy="5386070"/>
                    </a:xfrm>
                    <a:prstGeom prst="rect">
                      <a:avLst/>
                    </a:prstGeom>
                  </pic:spPr>
                </pic:pic>
              </a:graphicData>
            </a:graphic>
          </wp:inline>
        </w:drawing>
      </w:r>
      <w:r>
        <w:rPr>
          <w:rFonts w:hint="default"/>
          <w:lang w:val="en-US" w:eastAsia="zh-CN"/>
        </w:rPr>
        <w:drawing>
          <wp:inline distT="0" distB="0" distL="114300" distR="114300">
            <wp:extent cx="7181215" cy="5386070"/>
            <wp:effectExtent l="0" t="0" r="635" b="5080"/>
            <wp:docPr id="44" name="图片 44" descr="74f0943cba37dd61e9005a1d32d13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74f0943cba37dd61e9005a1d32d138b"/>
                    <pic:cNvPicPr>
                      <a:picLocks noChangeAspect="1"/>
                    </pic:cNvPicPr>
                  </pic:nvPicPr>
                  <pic:blipFill>
                    <a:blip r:embed="rId69"/>
                    <a:stretch>
                      <a:fillRect/>
                    </a:stretch>
                  </pic:blipFill>
                  <pic:spPr>
                    <a:xfrm>
                      <a:off x="0" y="0"/>
                      <a:ext cx="7181215" cy="5386070"/>
                    </a:xfrm>
                    <a:prstGeom prst="rect">
                      <a:avLst/>
                    </a:prstGeom>
                  </pic:spPr>
                </pic:pic>
              </a:graphicData>
            </a:graphic>
          </wp:inline>
        </w:drawing>
      </w:r>
      <w:r>
        <w:rPr>
          <w:rFonts w:hint="default"/>
          <w:lang w:val="en-US" w:eastAsia="zh-CN"/>
        </w:rPr>
        <w:drawing>
          <wp:inline distT="0" distB="0" distL="114300" distR="114300">
            <wp:extent cx="7181215" cy="5386070"/>
            <wp:effectExtent l="0" t="0" r="635" b="5080"/>
            <wp:docPr id="45" name="图片 45" descr="3f7fcaab2198d06111e4d6f39454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f7fcaab2198d06111e4d6f3945421f"/>
                    <pic:cNvPicPr>
                      <a:picLocks noChangeAspect="1"/>
                    </pic:cNvPicPr>
                  </pic:nvPicPr>
                  <pic:blipFill>
                    <a:blip r:embed="rId70"/>
                    <a:stretch>
                      <a:fillRect/>
                    </a:stretch>
                  </pic:blipFill>
                  <pic:spPr>
                    <a:xfrm>
                      <a:off x="0" y="0"/>
                      <a:ext cx="7181215" cy="5386070"/>
                    </a:xfrm>
                    <a:prstGeom prst="rect">
                      <a:avLst/>
                    </a:prstGeom>
                  </pic:spPr>
                </pic:pic>
              </a:graphicData>
            </a:graphic>
          </wp:inline>
        </w:drawing>
      </w:r>
      <w:r>
        <w:rPr>
          <w:rFonts w:hint="default"/>
          <w:lang w:val="en-US" w:eastAsia="zh-CN"/>
        </w:rPr>
        <w:drawing>
          <wp:inline distT="0" distB="0" distL="114300" distR="114300">
            <wp:extent cx="7181215" cy="5386070"/>
            <wp:effectExtent l="0" t="0" r="635" b="5080"/>
            <wp:docPr id="46" name="图片 46" descr="31d76241c15d8ba8dbc9995f4a9d1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31d76241c15d8ba8dbc9995f4a9d13e"/>
                    <pic:cNvPicPr>
                      <a:picLocks noChangeAspect="1"/>
                    </pic:cNvPicPr>
                  </pic:nvPicPr>
                  <pic:blipFill>
                    <a:blip r:embed="rId71"/>
                    <a:stretch>
                      <a:fillRect/>
                    </a:stretch>
                  </pic:blipFill>
                  <pic:spPr>
                    <a:xfrm>
                      <a:off x="0" y="0"/>
                      <a:ext cx="7181215" cy="5386070"/>
                    </a:xfrm>
                    <a:prstGeom prst="rect">
                      <a:avLst/>
                    </a:prstGeom>
                  </pic:spPr>
                </pic:pic>
              </a:graphicData>
            </a:graphic>
          </wp:inline>
        </w:drawing>
      </w:r>
    </w:p>
    <w:sectPr>
      <w:pgSz w:w="16838" w:h="11906" w:orient="landscape"/>
      <w:pgMar w:top="1701" w:right="1418" w:bottom="1701" w:left="1418" w:header="851" w:footer="992" w:gutter="0"/>
      <w:pgNumType w:fmt="numberInDash"/>
      <w:cols w:space="0" w:num="1"/>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30877402"/>
    </w:sdtPr>
    <w:sdtContent>
      <w:p>
        <w:pPr>
          <w:pStyle w:val="13"/>
          <w:ind w:firstLine="0" w:firstLineChars="0"/>
          <w:jc w:val="center"/>
        </w:pPr>
        <w:r>
          <w:fldChar w:fldCharType="begin"/>
        </w:r>
        <w:r>
          <w:instrText xml:space="preserve">PAGE   \* MERGEFORMAT</w:instrText>
        </w:r>
        <w:r>
          <w:fldChar w:fldCharType="separate"/>
        </w:r>
        <w:r>
          <w:rPr>
            <w:lang w:val="zh-CN"/>
          </w:rPr>
          <w:t>-</w:t>
        </w:r>
        <w:r>
          <w:t xml:space="preserve"> 1 -</w:t>
        </w:r>
        <w: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78154088"/>
    </w:sdtPr>
    <w:sdtContent>
      <w:p>
        <w:pPr>
          <w:pStyle w:val="13"/>
          <w:ind w:firstLine="0" w:firstLineChars="0"/>
          <w:jc w:val="center"/>
        </w:pPr>
        <w:r>
          <w:fldChar w:fldCharType="begin"/>
        </w:r>
        <w:r>
          <w:instrText xml:space="preserve">PAGE   \* MERGEFORMAT</w:instrText>
        </w:r>
        <w:r>
          <w:fldChar w:fldCharType="separate"/>
        </w:r>
        <w:r>
          <w:rPr>
            <w:lang w:val="zh-CN"/>
          </w:rPr>
          <w:t>-</w:t>
        </w:r>
        <w:r>
          <w:t xml:space="preserve"> 4 -</w:t>
        </w:r>
        <w: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79194240"/>
    </w:sdtPr>
    <w:sdtContent>
      <w:p>
        <w:pPr>
          <w:pStyle w:val="13"/>
          <w:ind w:firstLine="0" w:firstLineChars="0"/>
          <w:jc w:val="center"/>
        </w:pPr>
        <w:r>
          <w:fldChar w:fldCharType="begin"/>
        </w:r>
        <w:r>
          <w:instrText xml:space="preserve">PAGE   \* MERGEFORMAT</w:instrText>
        </w:r>
        <w:r>
          <w:fldChar w:fldCharType="separate"/>
        </w:r>
        <w:r>
          <w:rPr>
            <w:lang w:val="zh-CN"/>
          </w:rPr>
          <w:t>-</w:t>
        </w:r>
        <w:r>
          <w:t xml:space="preserve"> 34 -</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62267820"/>
    </w:sdtPr>
    <w:sdtContent>
      <w:p>
        <w:pPr>
          <w:pStyle w:val="13"/>
          <w:ind w:firstLine="0" w:firstLineChars="0"/>
          <w:jc w:val="center"/>
        </w:pPr>
        <w:r>
          <w:fldChar w:fldCharType="begin"/>
        </w:r>
        <w:r>
          <w:instrText xml:space="preserve">PAGE   \* MERGEFORMAT</w:instrText>
        </w:r>
        <w:r>
          <w:fldChar w:fldCharType="separate"/>
        </w:r>
        <w:r>
          <w:rPr>
            <w:lang w:val="zh-CN"/>
          </w:rPr>
          <w:t>-</w:t>
        </w:r>
        <w:r>
          <w:t xml:space="preserve"> 6 -</w:t>
        </w:r>
        <w: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34854239"/>
    </w:sdtPr>
    <w:sdtContent>
      <w:p>
        <w:pPr>
          <w:pStyle w:val="13"/>
          <w:ind w:firstLine="0" w:firstLineChars="0"/>
          <w:jc w:val="center"/>
        </w:pPr>
        <w:r>
          <w:fldChar w:fldCharType="begin"/>
        </w:r>
        <w:r>
          <w:instrText xml:space="preserve">PAGE   \* MERGEFORMAT</w:instrText>
        </w:r>
        <w:r>
          <w:fldChar w:fldCharType="separate"/>
        </w:r>
        <w:r>
          <w:rPr>
            <w:lang w:val="zh-CN"/>
          </w:rPr>
          <w:t>I</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single" w:color="auto" w:sz="4" w:space="1"/>
        <w:right w:val="none" w:color="auto" w:sz="0" w:space="4"/>
      </w:pBdr>
      <w:tabs>
        <w:tab w:val="center" w:pos="4153"/>
        <w:tab w:val="right" w:pos="8306"/>
      </w:tabs>
      <w:snapToGrid w:val="0"/>
      <w:spacing w:line="240" w:lineRule="auto"/>
      <w:ind w:firstLine="0" w:firstLineChars="0"/>
      <w:jc w:val="center"/>
      <w:rPr>
        <w:rFonts w:cs="Times New Roman"/>
      </w:rPr>
    </w:pPr>
    <w:r>
      <w:rPr>
        <w:rFonts w:hint="eastAsia" w:cs="Times New Roman"/>
        <w:sz w:val="18"/>
        <w:szCs w:val="18"/>
      </w:rPr>
      <w:t>浙江允源毛纺原料有限公司年产2000吨毛条新建项目竣工环境保护验收监测报告</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single" w:color="auto" w:sz="4" w:space="1"/>
        <w:right w:val="none" w:color="auto" w:sz="0" w:space="4"/>
      </w:pBdr>
      <w:tabs>
        <w:tab w:val="center" w:pos="4153"/>
        <w:tab w:val="right" w:pos="8306"/>
      </w:tabs>
      <w:snapToGrid w:val="0"/>
      <w:spacing w:line="240" w:lineRule="auto"/>
      <w:ind w:firstLine="0" w:firstLineChars="0"/>
      <w:jc w:val="center"/>
      <w:rPr>
        <w:rFonts w:cs="Times New Roman"/>
      </w:rPr>
    </w:pPr>
    <w:r>
      <w:rPr>
        <w:rFonts w:hint="eastAsia" w:cs="Times New Roman"/>
        <w:sz w:val="18"/>
        <w:szCs w:val="18"/>
      </w:rPr>
      <w:t>浙江允源毛纺股份有限公司年产2000吨毛条新建项目竣工环境保护验收监测报告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top w:val="none" w:color="auto" w:sz="0" w:space="0"/>
        <w:left w:val="none" w:color="auto" w:sz="0" w:space="0"/>
        <w:bottom w:val="none" w:color="auto" w:sz="0" w:space="0"/>
        <w:right w:val="none" w:color="auto" w:sz="0" w:space="0"/>
      </w:pBdr>
      <w:spacing w:line="240" w:lineRule="auto"/>
      <w:ind w:firstLine="0" w:firstLineChars="0"/>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single" w:color="auto" w:sz="4" w:space="1"/>
        <w:right w:val="none" w:color="auto" w:sz="0" w:space="4"/>
      </w:pBdr>
      <w:tabs>
        <w:tab w:val="center" w:pos="4153"/>
        <w:tab w:val="right" w:pos="8306"/>
      </w:tabs>
      <w:snapToGrid w:val="0"/>
      <w:spacing w:line="240" w:lineRule="auto"/>
      <w:ind w:firstLine="0" w:firstLineChars="0"/>
      <w:jc w:val="center"/>
      <w:rPr>
        <w:rFonts w:cs="Times New Roman"/>
      </w:rPr>
    </w:pPr>
    <w:r>
      <w:rPr>
        <w:rFonts w:hint="eastAsia" w:cs="Times New Roman"/>
        <w:sz w:val="18"/>
        <w:szCs w:val="18"/>
      </w:rPr>
      <w:t>浙江允源毛纺股份有限公司年产2000吨毛条新建项目竣工环境保护验收监测报告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48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single" w:color="auto" w:sz="4" w:space="1"/>
        <w:right w:val="none" w:color="auto" w:sz="0" w:space="4"/>
      </w:pBdr>
      <w:tabs>
        <w:tab w:val="center" w:pos="4153"/>
        <w:tab w:val="right" w:pos="8306"/>
      </w:tabs>
      <w:snapToGrid w:val="0"/>
      <w:spacing w:line="240" w:lineRule="auto"/>
      <w:ind w:firstLine="0" w:firstLineChars="0"/>
      <w:jc w:val="center"/>
      <w:rPr>
        <w:rFonts w:cs="Times New Roman"/>
      </w:rPr>
    </w:pPr>
    <w:r>
      <w:rPr>
        <w:rFonts w:hint="eastAsia" w:cs="Times New Roman"/>
        <w:sz w:val="18"/>
        <w:szCs w:val="18"/>
      </w:rPr>
      <w:t>浙江允源毛纺股份有限公司年产2000吨毛条新建项目</w:t>
    </w:r>
    <w:r>
      <w:rPr>
        <w:rFonts w:cs="Times New Roman"/>
        <w:sz w:val="18"/>
        <w:szCs w:val="18"/>
      </w:rPr>
      <w:t>竣工环境保护验收监测报告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spacing w:line="240" w:lineRule="auto"/>
      <w:ind w:firstLine="0" w:firstLineChars="0"/>
      <w:jc w:val="center"/>
    </w:pPr>
    <w:r>
      <w:rPr>
        <w:rFonts w:hint="eastAsia"/>
        <w:sz w:val="18"/>
        <w:szCs w:val="18"/>
      </w:rPr>
      <w:t>浙江允源毛纺股份有限公司年产2000吨毛条新建项目竣工环境保护验收监测报告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spacing w:line="240" w:lineRule="auto"/>
      <w:ind w:firstLine="0" w:firstLineChars="0"/>
      <w:jc w:val="center"/>
    </w:pPr>
    <w:r>
      <w:rPr>
        <w:rFonts w:hint="eastAsia"/>
        <w:sz w:val="18"/>
        <w:szCs w:val="18"/>
      </w:rPr>
      <w:t>浙江允源毛纺股份有限公司年产2000吨毛条新建项目竣工环境保护验收监测报告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6471468"/>
    <w:multiLevelType w:val="singleLevel"/>
    <w:tmpl w:val="76471468"/>
    <w:lvl w:ilvl="0" w:tentative="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cumentProtection w:enforcement="0"/>
  <w:defaultTabStop w:val="420"/>
  <w:drawingGridHorizontalSpacing w:val="120"/>
  <w:drawingGridVerticalSpacing w:val="166"/>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2F5F"/>
    <w:rsid w:val="00005CF9"/>
    <w:rsid w:val="00010B1B"/>
    <w:rsid w:val="000167CD"/>
    <w:rsid w:val="00021D42"/>
    <w:rsid w:val="00022108"/>
    <w:rsid w:val="00024F7C"/>
    <w:rsid w:val="00031144"/>
    <w:rsid w:val="000317E9"/>
    <w:rsid w:val="00032216"/>
    <w:rsid w:val="00044F9E"/>
    <w:rsid w:val="000453B7"/>
    <w:rsid w:val="00046C66"/>
    <w:rsid w:val="00055CB3"/>
    <w:rsid w:val="00055D0D"/>
    <w:rsid w:val="00057B62"/>
    <w:rsid w:val="0006034F"/>
    <w:rsid w:val="0006056C"/>
    <w:rsid w:val="00060585"/>
    <w:rsid w:val="00061B51"/>
    <w:rsid w:val="00066119"/>
    <w:rsid w:val="00067ACD"/>
    <w:rsid w:val="000706CE"/>
    <w:rsid w:val="000745B4"/>
    <w:rsid w:val="0007621B"/>
    <w:rsid w:val="00076DC8"/>
    <w:rsid w:val="0007798D"/>
    <w:rsid w:val="000801DF"/>
    <w:rsid w:val="00080BD0"/>
    <w:rsid w:val="00081FA6"/>
    <w:rsid w:val="00082A7B"/>
    <w:rsid w:val="000865BE"/>
    <w:rsid w:val="00094F5A"/>
    <w:rsid w:val="000A62DC"/>
    <w:rsid w:val="000C3C53"/>
    <w:rsid w:val="000C6D82"/>
    <w:rsid w:val="000C7BAC"/>
    <w:rsid w:val="000D4B6C"/>
    <w:rsid w:val="000D6C29"/>
    <w:rsid w:val="000E0B40"/>
    <w:rsid w:val="000E7C9E"/>
    <w:rsid w:val="000F7744"/>
    <w:rsid w:val="0010525A"/>
    <w:rsid w:val="00112439"/>
    <w:rsid w:val="001130B9"/>
    <w:rsid w:val="00124F13"/>
    <w:rsid w:val="001265AC"/>
    <w:rsid w:val="001318D9"/>
    <w:rsid w:val="0013231E"/>
    <w:rsid w:val="00134407"/>
    <w:rsid w:val="00136A9E"/>
    <w:rsid w:val="0013779A"/>
    <w:rsid w:val="00137C88"/>
    <w:rsid w:val="00140592"/>
    <w:rsid w:val="001408A6"/>
    <w:rsid w:val="0014278A"/>
    <w:rsid w:val="00143A01"/>
    <w:rsid w:val="00154DD1"/>
    <w:rsid w:val="00155B99"/>
    <w:rsid w:val="00155DD7"/>
    <w:rsid w:val="0015694F"/>
    <w:rsid w:val="00166B39"/>
    <w:rsid w:val="00167244"/>
    <w:rsid w:val="00171C1F"/>
    <w:rsid w:val="00175986"/>
    <w:rsid w:val="0017711E"/>
    <w:rsid w:val="00182767"/>
    <w:rsid w:val="001837E9"/>
    <w:rsid w:val="00195975"/>
    <w:rsid w:val="001A2515"/>
    <w:rsid w:val="001A66AB"/>
    <w:rsid w:val="001A7E5C"/>
    <w:rsid w:val="001C11AD"/>
    <w:rsid w:val="001C1C71"/>
    <w:rsid w:val="001C43E1"/>
    <w:rsid w:val="001D02C5"/>
    <w:rsid w:val="001D2612"/>
    <w:rsid w:val="001E04B4"/>
    <w:rsid w:val="001E3D8A"/>
    <w:rsid w:val="001E4006"/>
    <w:rsid w:val="001E465F"/>
    <w:rsid w:val="001E7363"/>
    <w:rsid w:val="001F2053"/>
    <w:rsid w:val="001F317E"/>
    <w:rsid w:val="001F46FE"/>
    <w:rsid w:val="001F4C9F"/>
    <w:rsid w:val="001F7532"/>
    <w:rsid w:val="00216C46"/>
    <w:rsid w:val="00217E25"/>
    <w:rsid w:val="00220AFD"/>
    <w:rsid w:val="0022164B"/>
    <w:rsid w:val="00221ECE"/>
    <w:rsid w:val="00222CB7"/>
    <w:rsid w:val="00224767"/>
    <w:rsid w:val="00237FB4"/>
    <w:rsid w:val="0024129C"/>
    <w:rsid w:val="0024595D"/>
    <w:rsid w:val="002467E7"/>
    <w:rsid w:val="00252E25"/>
    <w:rsid w:val="002632E4"/>
    <w:rsid w:val="00267C50"/>
    <w:rsid w:val="002706D1"/>
    <w:rsid w:val="00273CE1"/>
    <w:rsid w:val="00276193"/>
    <w:rsid w:val="00276907"/>
    <w:rsid w:val="00276B97"/>
    <w:rsid w:val="00276E8F"/>
    <w:rsid w:val="00283E96"/>
    <w:rsid w:val="002945FC"/>
    <w:rsid w:val="00294725"/>
    <w:rsid w:val="002974B5"/>
    <w:rsid w:val="002A3948"/>
    <w:rsid w:val="002B2832"/>
    <w:rsid w:val="002C1ED5"/>
    <w:rsid w:val="002C29B2"/>
    <w:rsid w:val="002C3A7A"/>
    <w:rsid w:val="002D0F2B"/>
    <w:rsid w:val="002D39A1"/>
    <w:rsid w:val="002D630B"/>
    <w:rsid w:val="002F4237"/>
    <w:rsid w:val="00303225"/>
    <w:rsid w:val="0030465F"/>
    <w:rsid w:val="003074ED"/>
    <w:rsid w:val="0031312A"/>
    <w:rsid w:val="00322BC3"/>
    <w:rsid w:val="00324B1C"/>
    <w:rsid w:val="0033201C"/>
    <w:rsid w:val="00333223"/>
    <w:rsid w:val="00335CBD"/>
    <w:rsid w:val="00350841"/>
    <w:rsid w:val="00350EDD"/>
    <w:rsid w:val="00356EB8"/>
    <w:rsid w:val="00362081"/>
    <w:rsid w:val="0036583C"/>
    <w:rsid w:val="00367CC7"/>
    <w:rsid w:val="00371CB1"/>
    <w:rsid w:val="00376660"/>
    <w:rsid w:val="0038294E"/>
    <w:rsid w:val="00383BB0"/>
    <w:rsid w:val="00386AF2"/>
    <w:rsid w:val="00391CFC"/>
    <w:rsid w:val="00393978"/>
    <w:rsid w:val="00397342"/>
    <w:rsid w:val="003977D8"/>
    <w:rsid w:val="00397EDF"/>
    <w:rsid w:val="003A5874"/>
    <w:rsid w:val="003A6BF4"/>
    <w:rsid w:val="003A7B64"/>
    <w:rsid w:val="003B1DB2"/>
    <w:rsid w:val="003B35E3"/>
    <w:rsid w:val="003B77D4"/>
    <w:rsid w:val="003C09B6"/>
    <w:rsid w:val="003C1161"/>
    <w:rsid w:val="003C3B8E"/>
    <w:rsid w:val="003C7F57"/>
    <w:rsid w:val="003D2277"/>
    <w:rsid w:val="003D3333"/>
    <w:rsid w:val="003D4C39"/>
    <w:rsid w:val="003D5564"/>
    <w:rsid w:val="003D7111"/>
    <w:rsid w:val="003E1768"/>
    <w:rsid w:val="003E3013"/>
    <w:rsid w:val="003E5C55"/>
    <w:rsid w:val="003F1DE3"/>
    <w:rsid w:val="003F799D"/>
    <w:rsid w:val="0040458E"/>
    <w:rsid w:val="0040795E"/>
    <w:rsid w:val="00421A77"/>
    <w:rsid w:val="00426405"/>
    <w:rsid w:val="004313F6"/>
    <w:rsid w:val="004362F4"/>
    <w:rsid w:val="00436387"/>
    <w:rsid w:val="004469A9"/>
    <w:rsid w:val="0044732F"/>
    <w:rsid w:val="00456E5D"/>
    <w:rsid w:val="00463275"/>
    <w:rsid w:val="00464302"/>
    <w:rsid w:val="004648C2"/>
    <w:rsid w:val="0046715E"/>
    <w:rsid w:val="0047125A"/>
    <w:rsid w:val="004735E0"/>
    <w:rsid w:val="00473775"/>
    <w:rsid w:val="00473DA8"/>
    <w:rsid w:val="00475AE5"/>
    <w:rsid w:val="00476912"/>
    <w:rsid w:val="00476C1A"/>
    <w:rsid w:val="00476F4E"/>
    <w:rsid w:val="00477CB4"/>
    <w:rsid w:val="004906A2"/>
    <w:rsid w:val="00497777"/>
    <w:rsid w:val="004A0D8C"/>
    <w:rsid w:val="004A2401"/>
    <w:rsid w:val="004A3637"/>
    <w:rsid w:val="004A4247"/>
    <w:rsid w:val="004B17F6"/>
    <w:rsid w:val="004B299B"/>
    <w:rsid w:val="004B4D82"/>
    <w:rsid w:val="004C1748"/>
    <w:rsid w:val="004C22A1"/>
    <w:rsid w:val="004C2A04"/>
    <w:rsid w:val="004D764F"/>
    <w:rsid w:val="004E011E"/>
    <w:rsid w:val="004E123E"/>
    <w:rsid w:val="004E280B"/>
    <w:rsid w:val="004E2F7E"/>
    <w:rsid w:val="004E5867"/>
    <w:rsid w:val="004F16B8"/>
    <w:rsid w:val="004F524F"/>
    <w:rsid w:val="004F750C"/>
    <w:rsid w:val="004F77C1"/>
    <w:rsid w:val="005023FC"/>
    <w:rsid w:val="00504BB3"/>
    <w:rsid w:val="00510137"/>
    <w:rsid w:val="00510DF9"/>
    <w:rsid w:val="00516DEF"/>
    <w:rsid w:val="00521C4B"/>
    <w:rsid w:val="005224BE"/>
    <w:rsid w:val="00522D54"/>
    <w:rsid w:val="0052541F"/>
    <w:rsid w:val="00531708"/>
    <w:rsid w:val="0053182C"/>
    <w:rsid w:val="00537264"/>
    <w:rsid w:val="00540A00"/>
    <w:rsid w:val="005423E6"/>
    <w:rsid w:val="00555A74"/>
    <w:rsid w:val="00561C21"/>
    <w:rsid w:val="00561E0C"/>
    <w:rsid w:val="0056380D"/>
    <w:rsid w:val="00563E41"/>
    <w:rsid w:val="00564885"/>
    <w:rsid w:val="005674AB"/>
    <w:rsid w:val="005700CF"/>
    <w:rsid w:val="00573069"/>
    <w:rsid w:val="0058289F"/>
    <w:rsid w:val="00585417"/>
    <w:rsid w:val="00587563"/>
    <w:rsid w:val="00594F28"/>
    <w:rsid w:val="005A4C45"/>
    <w:rsid w:val="005A6568"/>
    <w:rsid w:val="005A7FCA"/>
    <w:rsid w:val="005B0BD4"/>
    <w:rsid w:val="005B0CD5"/>
    <w:rsid w:val="005B2A7D"/>
    <w:rsid w:val="005B53BA"/>
    <w:rsid w:val="005B56CE"/>
    <w:rsid w:val="005B7FCD"/>
    <w:rsid w:val="005C4A6E"/>
    <w:rsid w:val="005C669B"/>
    <w:rsid w:val="005D2EB4"/>
    <w:rsid w:val="005D517F"/>
    <w:rsid w:val="005E2A92"/>
    <w:rsid w:val="005E4BA1"/>
    <w:rsid w:val="005E6F8C"/>
    <w:rsid w:val="005F4035"/>
    <w:rsid w:val="005F53C8"/>
    <w:rsid w:val="006031A2"/>
    <w:rsid w:val="0060580E"/>
    <w:rsid w:val="00616372"/>
    <w:rsid w:val="00623CFF"/>
    <w:rsid w:val="006245B6"/>
    <w:rsid w:val="00626743"/>
    <w:rsid w:val="00626D79"/>
    <w:rsid w:val="00632ECE"/>
    <w:rsid w:val="00634465"/>
    <w:rsid w:val="00636355"/>
    <w:rsid w:val="00636C15"/>
    <w:rsid w:val="006371E5"/>
    <w:rsid w:val="006372A5"/>
    <w:rsid w:val="00637F78"/>
    <w:rsid w:val="006431C0"/>
    <w:rsid w:val="00645C72"/>
    <w:rsid w:val="00647E1D"/>
    <w:rsid w:val="0065195E"/>
    <w:rsid w:val="00653107"/>
    <w:rsid w:val="006604D2"/>
    <w:rsid w:val="00660E0F"/>
    <w:rsid w:val="00660F7B"/>
    <w:rsid w:val="00660FD6"/>
    <w:rsid w:val="006616C5"/>
    <w:rsid w:val="00663557"/>
    <w:rsid w:val="00666C7E"/>
    <w:rsid w:val="00675A3A"/>
    <w:rsid w:val="00676A5E"/>
    <w:rsid w:val="00690451"/>
    <w:rsid w:val="00694023"/>
    <w:rsid w:val="00694579"/>
    <w:rsid w:val="0069535A"/>
    <w:rsid w:val="006A2243"/>
    <w:rsid w:val="006A2CCF"/>
    <w:rsid w:val="006A611E"/>
    <w:rsid w:val="006B1523"/>
    <w:rsid w:val="006B3677"/>
    <w:rsid w:val="006B39CF"/>
    <w:rsid w:val="006B4F54"/>
    <w:rsid w:val="006B63B6"/>
    <w:rsid w:val="006C1BCB"/>
    <w:rsid w:val="006C3138"/>
    <w:rsid w:val="006C38EF"/>
    <w:rsid w:val="006C5C95"/>
    <w:rsid w:val="006C634E"/>
    <w:rsid w:val="006D14D5"/>
    <w:rsid w:val="006D443A"/>
    <w:rsid w:val="006D5284"/>
    <w:rsid w:val="006D56CD"/>
    <w:rsid w:val="006D6558"/>
    <w:rsid w:val="006D70DB"/>
    <w:rsid w:val="006D7401"/>
    <w:rsid w:val="006E6990"/>
    <w:rsid w:val="006F05F8"/>
    <w:rsid w:val="006F0932"/>
    <w:rsid w:val="006F658D"/>
    <w:rsid w:val="00703CBE"/>
    <w:rsid w:val="007051D7"/>
    <w:rsid w:val="00706C13"/>
    <w:rsid w:val="00707BFB"/>
    <w:rsid w:val="00716734"/>
    <w:rsid w:val="00723BF7"/>
    <w:rsid w:val="00726D5B"/>
    <w:rsid w:val="0072791C"/>
    <w:rsid w:val="00732623"/>
    <w:rsid w:val="007359C5"/>
    <w:rsid w:val="007407A2"/>
    <w:rsid w:val="0074293D"/>
    <w:rsid w:val="007444B9"/>
    <w:rsid w:val="007447AB"/>
    <w:rsid w:val="007469AF"/>
    <w:rsid w:val="007546B9"/>
    <w:rsid w:val="00756D1B"/>
    <w:rsid w:val="00756F81"/>
    <w:rsid w:val="007625CF"/>
    <w:rsid w:val="007637AB"/>
    <w:rsid w:val="00773503"/>
    <w:rsid w:val="00777D65"/>
    <w:rsid w:val="00781DF0"/>
    <w:rsid w:val="00785230"/>
    <w:rsid w:val="00785703"/>
    <w:rsid w:val="00792010"/>
    <w:rsid w:val="007A185D"/>
    <w:rsid w:val="007A7140"/>
    <w:rsid w:val="007B4002"/>
    <w:rsid w:val="007B5857"/>
    <w:rsid w:val="007C22BF"/>
    <w:rsid w:val="007C5CFF"/>
    <w:rsid w:val="007C782C"/>
    <w:rsid w:val="007D090D"/>
    <w:rsid w:val="007D0CD1"/>
    <w:rsid w:val="007E0509"/>
    <w:rsid w:val="0080674F"/>
    <w:rsid w:val="00806966"/>
    <w:rsid w:val="00812BAE"/>
    <w:rsid w:val="0081629F"/>
    <w:rsid w:val="00816C3D"/>
    <w:rsid w:val="00816D5A"/>
    <w:rsid w:val="00817D2F"/>
    <w:rsid w:val="00823154"/>
    <w:rsid w:val="008243E1"/>
    <w:rsid w:val="00830359"/>
    <w:rsid w:val="00835344"/>
    <w:rsid w:val="00840D0A"/>
    <w:rsid w:val="00842F1C"/>
    <w:rsid w:val="008571AA"/>
    <w:rsid w:val="00873A5C"/>
    <w:rsid w:val="008748E7"/>
    <w:rsid w:val="00875A7D"/>
    <w:rsid w:val="00876040"/>
    <w:rsid w:val="00892019"/>
    <w:rsid w:val="00894A85"/>
    <w:rsid w:val="00896DA4"/>
    <w:rsid w:val="008A0365"/>
    <w:rsid w:val="008A4BF9"/>
    <w:rsid w:val="008B08FF"/>
    <w:rsid w:val="008B0C14"/>
    <w:rsid w:val="008B4BD0"/>
    <w:rsid w:val="008B5487"/>
    <w:rsid w:val="008C34C8"/>
    <w:rsid w:val="008C398A"/>
    <w:rsid w:val="008C425B"/>
    <w:rsid w:val="008C5AD5"/>
    <w:rsid w:val="008D1361"/>
    <w:rsid w:val="008D1BD9"/>
    <w:rsid w:val="008D4665"/>
    <w:rsid w:val="008D53B4"/>
    <w:rsid w:val="008F2195"/>
    <w:rsid w:val="008F2B10"/>
    <w:rsid w:val="008F4CEE"/>
    <w:rsid w:val="009022D9"/>
    <w:rsid w:val="00907C0B"/>
    <w:rsid w:val="00912EC0"/>
    <w:rsid w:val="00917AEF"/>
    <w:rsid w:val="00925082"/>
    <w:rsid w:val="00925767"/>
    <w:rsid w:val="00930991"/>
    <w:rsid w:val="009327AE"/>
    <w:rsid w:val="00934814"/>
    <w:rsid w:val="00935A24"/>
    <w:rsid w:val="00937FCC"/>
    <w:rsid w:val="00941852"/>
    <w:rsid w:val="009418A7"/>
    <w:rsid w:val="0094256C"/>
    <w:rsid w:val="00943BE2"/>
    <w:rsid w:val="00945D5D"/>
    <w:rsid w:val="00950CD1"/>
    <w:rsid w:val="00952897"/>
    <w:rsid w:val="00954794"/>
    <w:rsid w:val="009549CB"/>
    <w:rsid w:val="00957AF7"/>
    <w:rsid w:val="00962F43"/>
    <w:rsid w:val="0096675E"/>
    <w:rsid w:val="009743F5"/>
    <w:rsid w:val="00981B91"/>
    <w:rsid w:val="00981EA5"/>
    <w:rsid w:val="00982E61"/>
    <w:rsid w:val="00985567"/>
    <w:rsid w:val="009864FB"/>
    <w:rsid w:val="009920DD"/>
    <w:rsid w:val="00995262"/>
    <w:rsid w:val="00997F45"/>
    <w:rsid w:val="009A6292"/>
    <w:rsid w:val="009A6859"/>
    <w:rsid w:val="009B28A9"/>
    <w:rsid w:val="009B4215"/>
    <w:rsid w:val="009B4DCB"/>
    <w:rsid w:val="009B68ED"/>
    <w:rsid w:val="009C1AD7"/>
    <w:rsid w:val="009D152D"/>
    <w:rsid w:val="009D37FE"/>
    <w:rsid w:val="009D5090"/>
    <w:rsid w:val="009E1A68"/>
    <w:rsid w:val="009E73B2"/>
    <w:rsid w:val="009F0E3E"/>
    <w:rsid w:val="009F160F"/>
    <w:rsid w:val="00A003B6"/>
    <w:rsid w:val="00A06799"/>
    <w:rsid w:val="00A1148D"/>
    <w:rsid w:val="00A12469"/>
    <w:rsid w:val="00A209E4"/>
    <w:rsid w:val="00A2104D"/>
    <w:rsid w:val="00A22F0E"/>
    <w:rsid w:val="00A37CF1"/>
    <w:rsid w:val="00A43293"/>
    <w:rsid w:val="00A448F7"/>
    <w:rsid w:val="00A4529B"/>
    <w:rsid w:val="00A5492E"/>
    <w:rsid w:val="00A5689D"/>
    <w:rsid w:val="00A64449"/>
    <w:rsid w:val="00A64DCA"/>
    <w:rsid w:val="00A6569E"/>
    <w:rsid w:val="00A6665E"/>
    <w:rsid w:val="00A740ED"/>
    <w:rsid w:val="00A86114"/>
    <w:rsid w:val="00A861AE"/>
    <w:rsid w:val="00A91884"/>
    <w:rsid w:val="00AA273A"/>
    <w:rsid w:val="00AC22D5"/>
    <w:rsid w:val="00AC2FFF"/>
    <w:rsid w:val="00AD0495"/>
    <w:rsid w:val="00AD2267"/>
    <w:rsid w:val="00AD4014"/>
    <w:rsid w:val="00AE2981"/>
    <w:rsid w:val="00AE5623"/>
    <w:rsid w:val="00AE75C9"/>
    <w:rsid w:val="00AF3E4C"/>
    <w:rsid w:val="00AF7BBE"/>
    <w:rsid w:val="00B035E0"/>
    <w:rsid w:val="00B06C8B"/>
    <w:rsid w:val="00B079C5"/>
    <w:rsid w:val="00B11FB4"/>
    <w:rsid w:val="00B12046"/>
    <w:rsid w:val="00B13EEC"/>
    <w:rsid w:val="00B1753C"/>
    <w:rsid w:val="00B175C7"/>
    <w:rsid w:val="00B17A77"/>
    <w:rsid w:val="00B247F2"/>
    <w:rsid w:val="00B30A9D"/>
    <w:rsid w:val="00B36A0D"/>
    <w:rsid w:val="00B37084"/>
    <w:rsid w:val="00B450FF"/>
    <w:rsid w:val="00B46F67"/>
    <w:rsid w:val="00B52AB7"/>
    <w:rsid w:val="00B54F13"/>
    <w:rsid w:val="00B57A6D"/>
    <w:rsid w:val="00B60247"/>
    <w:rsid w:val="00B6299D"/>
    <w:rsid w:val="00B631D6"/>
    <w:rsid w:val="00B641C5"/>
    <w:rsid w:val="00B64B9D"/>
    <w:rsid w:val="00B67E08"/>
    <w:rsid w:val="00B74BC5"/>
    <w:rsid w:val="00B76B83"/>
    <w:rsid w:val="00B77A5A"/>
    <w:rsid w:val="00B80F3D"/>
    <w:rsid w:val="00B81E7B"/>
    <w:rsid w:val="00B83336"/>
    <w:rsid w:val="00B9036B"/>
    <w:rsid w:val="00B96514"/>
    <w:rsid w:val="00B96A6F"/>
    <w:rsid w:val="00BA07FD"/>
    <w:rsid w:val="00BA3EBE"/>
    <w:rsid w:val="00BA4425"/>
    <w:rsid w:val="00BA5343"/>
    <w:rsid w:val="00BA7D84"/>
    <w:rsid w:val="00BB7ABD"/>
    <w:rsid w:val="00BB7E95"/>
    <w:rsid w:val="00BC4CD4"/>
    <w:rsid w:val="00BC5716"/>
    <w:rsid w:val="00BD3918"/>
    <w:rsid w:val="00BE0462"/>
    <w:rsid w:val="00BE7E9A"/>
    <w:rsid w:val="00BF246B"/>
    <w:rsid w:val="00BF2F42"/>
    <w:rsid w:val="00C02C74"/>
    <w:rsid w:val="00C050A4"/>
    <w:rsid w:val="00C07165"/>
    <w:rsid w:val="00C0792F"/>
    <w:rsid w:val="00C106B5"/>
    <w:rsid w:val="00C15263"/>
    <w:rsid w:val="00C17235"/>
    <w:rsid w:val="00C20804"/>
    <w:rsid w:val="00C25D7A"/>
    <w:rsid w:val="00C26881"/>
    <w:rsid w:val="00C269A2"/>
    <w:rsid w:val="00C3331C"/>
    <w:rsid w:val="00C42808"/>
    <w:rsid w:val="00C51F49"/>
    <w:rsid w:val="00C5627B"/>
    <w:rsid w:val="00C611DA"/>
    <w:rsid w:val="00C628A5"/>
    <w:rsid w:val="00C66980"/>
    <w:rsid w:val="00C674EE"/>
    <w:rsid w:val="00C67AE1"/>
    <w:rsid w:val="00C70C01"/>
    <w:rsid w:val="00C72096"/>
    <w:rsid w:val="00C7768D"/>
    <w:rsid w:val="00C82DEA"/>
    <w:rsid w:val="00C863D9"/>
    <w:rsid w:val="00C868C8"/>
    <w:rsid w:val="00C920A7"/>
    <w:rsid w:val="00C955E4"/>
    <w:rsid w:val="00C96347"/>
    <w:rsid w:val="00CA3FF1"/>
    <w:rsid w:val="00CB10B4"/>
    <w:rsid w:val="00CC05D0"/>
    <w:rsid w:val="00CC20A0"/>
    <w:rsid w:val="00CC24C7"/>
    <w:rsid w:val="00CC5BF5"/>
    <w:rsid w:val="00CD0600"/>
    <w:rsid w:val="00CD0D63"/>
    <w:rsid w:val="00CD43F1"/>
    <w:rsid w:val="00CE689A"/>
    <w:rsid w:val="00CE7B3F"/>
    <w:rsid w:val="00CF0E50"/>
    <w:rsid w:val="00CF1A75"/>
    <w:rsid w:val="00CF4E27"/>
    <w:rsid w:val="00CF7C10"/>
    <w:rsid w:val="00D02D53"/>
    <w:rsid w:val="00D06C8D"/>
    <w:rsid w:val="00D07D23"/>
    <w:rsid w:val="00D14297"/>
    <w:rsid w:val="00D1549A"/>
    <w:rsid w:val="00D329F6"/>
    <w:rsid w:val="00D443CF"/>
    <w:rsid w:val="00D50CD3"/>
    <w:rsid w:val="00D522CA"/>
    <w:rsid w:val="00D57FC2"/>
    <w:rsid w:val="00D63286"/>
    <w:rsid w:val="00D633B5"/>
    <w:rsid w:val="00D7446A"/>
    <w:rsid w:val="00D745E0"/>
    <w:rsid w:val="00D7687A"/>
    <w:rsid w:val="00D76973"/>
    <w:rsid w:val="00D84C8F"/>
    <w:rsid w:val="00D84EB6"/>
    <w:rsid w:val="00D903D8"/>
    <w:rsid w:val="00D9385D"/>
    <w:rsid w:val="00D948EC"/>
    <w:rsid w:val="00D94AFF"/>
    <w:rsid w:val="00DA39E0"/>
    <w:rsid w:val="00DA4FC2"/>
    <w:rsid w:val="00DA674A"/>
    <w:rsid w:val="00DB1DDE"/>
    <w:rsid w:val="00DB3904"/>
    <w:rsid w:val="00DB555D"/>
    <w:rsid w:val="00DB6432"/>
    <w:rsid w:val="00DC2C03"/>
    <w:rsid w:val="00DC3050"/>
    <w:rsid w:val="00DC3C83"/>
    <w:rsid w:val="00DC65EE"/>
    <w:rsid w:val="00DD1B55"/>
    <w:rsid w:val="00DD5FFC"/>
    <w:rsid w:val="00DD68D2"/>
    <w:rsid w:val="00DD7F9A"/>
    <w:rsid w:val="00DE0A53"/>
    <w:rsid w:val="00DE5E7F"/>
    <w:rsid w:val="00DF1A31"/>
    <w:rsid w:val="00DF5F1D"/>
    <w:rsid w:val="00DF7CDB"/>
    <w:rsid w:val="00E01BC4"/>
    <w:rsid w:val="00E043BD"/>
    <w:rsid w:val="00E05007"/>
    <w:rsid w:val="00E062F2"/>
    <w:rsid w:val="00E11A5A"/>
    <w:rsid w:val="00E12532"/>
    <w:rsid w:val="00E1760E"/>
    <w:rsid w:val="00E22B0A"/>
    <w:rsid w:val="00E3002D"/>
    <w:rsid w:val="00E32776"/>
    <w:rsid w:val="00E334F1"/>
    <w:rsid w:val="00E33A59"/>
    <w:rsid w:val="00E40457"/>
    <w:rsid w:val="00E42472"/>
    <w:rsid w:val="00E42A42"/>
    <w:rsid w:val="00E4416D"/>
    <w:rsid w:val="00E54104"/>
    <w:rsid w:val="00E55413"/>
    <w:rsid w:val="00E56E70"/>
    <w:rsid w:val="00E700B3"/>
    <w:rsid w:val="00E71616"/>
    <w:rsid w:val="00E724BB"/>
    <w:rsid w:val="00E73D3A"/>
    <w:rsid w:val="00E746D4"/>
    <w:rsid w:val="00E75176"/>
    <w:rsid w:val="00E8346A"/>
    <w:rsid w:val="00E9481F"/>
    <w:rsid w:val="00E94CF0"/>
    <w:rsid w:val="00E96107"/>
    <w:rsid w:val="00EA1ABF"/>
    <w:rsid w:val="00EA5A02"/>
    <w:rsid w:val="00EB561A"/>
    <w:rsid w:val="00EC0228"/>
    <w:rsid w:val="00EC37B2"/>
    <w:rsid w:val="00EC5C97"/>
    <w:rsid w:val="00EC7B63"/>
    <w:rsid w:val="00ED1595"/>
    <w:rsid w:val="00ED7455"/>
    <w:rsid w:val="00ED7815"/>
    <w:rsid w:val="00EE1B86"/>
    <w:rsid w:val="00EE2D3F"/>
    <w:rsid w:val="00EE625F"/>
    <w:rsid w:val="00EF2008"/>
    <w:rsid w:val="00EF2FA7"/>
    <w:rsid w:val="00EF34AE"/>
    <w:rsid w:val="00EF3BFD"/>
    <w:rsid w:val="00EF6FF1"/>
    <w:rsid w:val="00F07A33"/>
    <w:rsid w:val="00F07A41"/>
    <w:rsid w:val="00F107C6"/>
    <w:rsid w:val="00F1227C"/>
    <w:rsid w:val="00F2245A"/>
    <w:rsid w:val="00F26C37"/>
    <w:rsid w:val="00F3587D"/>
    <w:rsid w:val="00F410E8"/>
    <w:rsid w:val="00F42F5F"/>
    <w:rsid w:val="00F50315"/>
    <w:rsid w:val="00F52DFE"/>
    <w:rsid w:val="00F54DF5"/>
    <w:rsid w:val="00F611A9"/>
    <w:rsid w:val="00F71E72"/>
    <w:rsid w:val="00F7306A"/>
    <w:rsid w:val="00F737FF"/>
    <w:rsid w:val="00F75757"/>
    <w:rsid w:val="00F7717F"/>
    <w:rsid w:val="00F81B22"/>
    <w:rsid w:val="00F82173"/>
    <w:rsid w:val="00F827E4"/>
    <w:rsid w:val="00F84294"/>
    <w:rsid w:val="00F86A85"/>
    <w:rsid w:val="00F90A4A"/>
    <w:rsid w:val="00FA14BD"/>
    <w:rsid w:val="00FA4CBF"/>
    <w:rsid w:val="00FB1C1A"/>
    <w:rsid w:val="00FB2796"/>
    <w:rsid w:val="00FB5FC8"/>
    <w:rsid w:val="00FB7097"/>
    <w:rsid w:val="00FC3A04"/>
    <w:rsid w:val="00FC4570"/>
    <w:rsid w:val="00FC6E1B"/>
    <w:rsid w:val="00FD4BFC"/>
    <w:rsid w:val="00FD56E1"/>
    <w:rsid w:val="00FD744B"/>
    <w:rsid w:val="00FE2AB3"/>
    <w:rsid w:val="00FF73CE"/>
    <w:rsid w:val="00FF7F02"/>
    <w:rsid w:val="044D07AB"/>
    <w:rsid w:val="04A60208"/>
    <w:rsid w:val="04CE584E"/>
    <w:rsid w:val="07D75E2F"/>
    <w:rsid w:val="0AD30C72"/>
    <w:rsid w:val="0E1D7ADC"/>
    <w:rsid w:val="0E9044A1"/>
    <w:rsid w:val="0ED54293"/>
    <w:rsid w:val="126F7065"/>
    <w:rsid w:val="13285D8A"/>
    <w:rsid w:val="14D323F2"/>
    <w:rsid w:val="155A733D"/>
    <w:rsid w:val="156E48AC"/>
    <w:rsid w:val="1D42604B"/>
    <w:rsid w:val="216F271D"/>
    <w:rsid w:val="232535A2"/>
    <w:rsid w:val="23A276A7"/>
    <w:rsid w:val="23F11886"/>
    <w:rsid w:val="25E311FD"/>
    <w:rsid w:val="25F81C03"/>
    <w:rsid w:val="27127460"/>
    <w:rsid w:val="28174277"/>
    <w:rsid w:val="2ACB6DF0"/>
    <w:rsid w:val="2C7E7410"/>
    <w:rsid w:val="2F68092E"/>
    <w:rsid w:val="32ED2973"/>
    <w:rsid w:val="335878F7"/>
    <w:rsid w:val="3506269F"/>
    <w:rsid w:val="355A18EA"/>
    <w:rsid w:val="42031FBE"/>
    <w:rsid w:val="498A4188"/>
    <w:rsid w:val="4BC629D9"/>
    <w:rsid w:val="4EB65408"/>
    <w:rsid w:val="4ED5647D"/>
    <w:rsid w:val="53B6218B"/>
    <w:rsid w:val="5486548F"/>
    <w:rsid w:val="550B4786"/>
    <w:rsid w:val="56022299"/>
    <w:rsid w:val="561D3901"/>
    <w:rsid w:val="57057306"/>
    <w:rsid w:val="57A91494"/>
    <w:rsid w:val="57AB52A9"/>
    <w:rsid w:val="593242CD"/>
    <w:rsid w:val="5B9E57A2"/>
    <w:rsid w:val="5D5751C2"/>
    <w:rsid w:val="5F0139DD"/>
    <w:rsid w:val="629127DC"/>
    <w:rsid w:val="62B04022"/>
    <w:rsid w:val="63BF3D1E"/>
    <w:rsid w:val="646116FF"/>
    <w:rsid w:val="67AE5F75"/>
    <w:rsid w:val="69245408"/>
    <w:rsid w:val="6DB82FD2"/>
    <w:rsid w:val="6F341B67"/>
    <w:rsid w:val="70DF1112"/>
    <w:rsid w:val="72500373"/>
    <w:rsid w:val="738E4BA2"/>
    <w:rsid w:val="753D096E"/>
    <w:rsid w:val="757D5F14"/>
    <w:rsid w:val="76644468"/>
    <w:rsid w:val="794E43E1"/>
    <w:rsid w:val="79B803B2"/>
    <w:rsid w:val="79FA629A"/>
    <w:rsid w:val="7D510CDC"/>
    <w:rsid w:val="7E8C280D"/>
    <w:rsid w:val="7F5648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iPriority="0" w:semiHidden="0" w:name="heading 3"/>
    <w:lsdException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99"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unhideWhenUsed="0" w:uiPriority="0" w:semiHidden="0" w:name="Subtitle"/>
    <w:lsdException w:uiPriority="0" w:name="Salutation"/>
    <w:lsdException w:uiPriority="0" w:name="Date"/>
    <w:lsdException w:qFormat="1"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qFormat="1" w:unhideWhenUsed="0" w:uiPriority="99"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unhideWhenUsed="0" w:uiPriority="0" w:semiHidden="0" w:name="Emphasis"/>
    <w:lsdException w:uiPriority="0" w:name="Document Map"/>
    <w:lsdException w:qFormat="1" w:unhideWhenUsed="0" w:uiPriority="99"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jc w:val="both"/>
    </w:pPr>
    <w:rPr>
      <w:rFonts w:ascii="Times New Roman" w:hAnsi="Times New Roman" w:eastAsiaTheme="minorEastAsia" w:cstheme="minorBidi"/>
      <w:kern w:val="2"/>
      <w:sz w:val="24"/>
      <w:szCs w:val="24"/>
      <w:lang w:val="en-US" w:eastAsia="zh-CN" w:bidi="ar-SA"/>
    </w:rPr>
  </w:style>
  <w:style w:type="paragraph" w:styleId="4">
    <w:name w:val="heading 1"/>
    <w:basedOn w:val="1"/>
    <w:next w:val="1"/>
    <w:qFormat/>
    <w:uiPriority w:val="99"/>
    <w:pPr>
      <w:keepNext/>
      <w:keepLines/>
      <w:ind w:firstLine="0" w:firstLineChars="0"/>
      <w:jc w:val="left"/>
      <w:outlineLvl w:val="0"/>
    </w:pPr>
    <w:rPr>
      <w:rFonts w:eastAsia="宋体"/>
      <w:b/>
      <w:bCs/>
      <w:kern w:val="44"/>
      <w:sz w:val="30"/>
      <w:szCs w:val="44"/>
    </w:rPr>
  </w:style>
  <w:style w:type="paragraph" w:styleId="5">
    <w:name w:val="heading 2"/>
    <w:basedOn w:val="1"/>
    <w:next w:val="1"/>
    <w:qFormat/>
    <w:uiPriority w:val="99"/>
    <w:pPr>
      <w:keepNext/>
      <w:keepLines/>
      <w:ind w:firstLine="0" w:firstLineChars="0"/>
      <w:jc w:val="left"/>
      <w:outlineLvl w:val="1"/>
    </w:pPr>
    <w:rPr>
      <w:rFonts w:eastAsia="宋体" w:cs="Arial"/>
      <w:b/>
      <w:bCs/>
      <w:sz w:val="28"/>
      <w:szCs w:val="32"/>
    </w:rPr>
  </w:style>
  <w:style w:type="paragraph" w:styleId="6">
    <w:name w:val="heading 3"/>
    <w:basedOn w:val="1"/>
    <w:next w:val="1"/>
    <w:unhideWhenUsed/>
    <w:qFormat/>
    <w:uiPriority w:val="0"/>
    <w:pPr>
      <w:keepNext/>
      <w:keepLines/>
      <w:ind w:firstLine="0" w:firstLineChars="0"/>
      <w:jc w:val="left"/>
      <w:outlineLvl w:val="2"/>
    </w:pPr>
    <w:rPr>
      <w:b/>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style>
  <w:style w:type="paragraph" w:styleId="3">
    <w:name w:val="Body Text Indent"/>
    <w:basedOn w:val="1"/>
    <w:qFormat/>
    <w:uiPriority w:val="0"/>
    <w:pPr>
      <w:spacing w:after="120"/>
      <w:ind w:left="420" w:leftChars="200"/>
    </w:pPr>
  </w:style>
  <w:style w:type="paragraph" w:styleId="7">
    <w:name w:val="Normal Indent"/>
    <w:basedOn w:val="1"/>
    <w:qFormat/>
    <w:uiPriority w:val="99"/>
    <w:pPr>
      <w:adjustRightInd w:val="0"/>
      <w:snapToGrid w:val="0"/>
      <w:ind w:firstLine="454"/>
    </w:pPr>
    <w:rPr>
      <w:rFonts w:cs="Times New Roman"/>
      <w:color w:val="000000"/>
    </w:rPr>
  </w:style>
  <w:style w:type="paragraph" w:styleId="8">
    <w:name w:val="annotation text"/>
    <w:basedOn w:val="1"/>
    <w:link w:val="38"/>
    <w:qFormat/>
    <w:uiPriority w:val="0"/>
    <w:pPr>
      <w:jc w:val="left"/>
    </w:pPr>
  </w:style>
  <w:style w:type="paragraph" w:styleId="9">
    <w:name w:val="Body Text"/>
    <w:basedOn w:val="1"/>
    <w:qFormat/>
    <w:uiPriority w:val="0"/>
    <w:pPr>
      <w:jc w:val="center"/>
    </w:pPr>
    <w:rPr>
      <w:sz w:val="21"/>
    </w:rPr>
  </w:style>
  <w:style w:type="paragraph" w:styleId="10">
    <w:name w:val="toc 3"/>
    <w:basedOn w:val="1"/>
    <w:next w:val="1"/>
    <w:qFormat/>
    <w:uiPriority w:val="39"/>
    <w:pPr>
      <w:ind w:left="840" w:leftChars="400"/>
    </w:pPr>
  </w:style>
  <w:style w:type="paragraph" w:styleId="11">
    <w:name w:val="Plain Text"/>
    <w:basedOn w:val="1"/>
    <w:next w:val="1"/>
    <w:qFormat/>
    <w:uiPriority w:val="99"/>
    <w:rPr>
      <w:rFonts w:ascii="宋体" w:hAnsi="Courier New" w:cs="宋体"/>
      <w:sz w:val="28"/>
      <w:szCs w:val="28"/>
    </w:rPr>
  </w:style>
  <w:style w:type="paragraph" w:styleId="12">
    <w:name w:val="Balloon Text"/>
    <w:basedOn w:val="1"/>
    <w:link w:val="46"/>
    <w:qFormat/>
    <w:uiPriority w:val="0"/>
    <w:pPr>
      <w:spacing w:line="240" w:lineRule="auto"/>
    </w:pPr>
    <w:rPr>
      <w:sz w:val="18"/>
      <w:szCs w:val="18"/>
    </w:rPr>
  </w:style>
  <w:style w:type="paragraph" w:styleId="13">
    <w:name w:val="footer"/>
    <w:basedOn w:val="1"/>
    <w:link w:val="41"/>
    <w:qFormat/>
    <w:uiPriority w:val="99"/>
    <w:pPr>
      <w:tabs>
        <w:tab w:val="center" w:pos="4153"/>
        <w:tab w:val="right" w:pos="8306"/>
      </w:tabs>
      <w:snapToGrid w:val="0"/>
      <w:jc w:val="left"/>
    </w:pPr>
    <w:rPr>
      <w:sz w:val="18"/>
    </w:rPr>
  </w:style>
  <w:style w:type="paragraph" w:styleId="14">
    <w:name w:val="header"/>
    <w:basedOn w:val="1"/>
    <w:link w:val="43"/>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rFonts w:cs="Times New Roman"/>
    </w:rPr>
  </w:style>
  <w:style w:type="paragraph" w:styleId="15">
    <w:name w:val="toc 1"/>
    <w:basedOn w:val="1"/>
    <w:next w:val="1"/>
    <w:qFormat/>
    <w:uiPriority w:val="39"/>
    <w:pPr>
      <w:ind w:firstLine="0" w:firstLineChars="0"/>
    </w:pPr>
    <w:rPr>
      <w:rFonts w:eastAsia="宋体"/>
    </w:rPr>
  </w:style>
  <w:style w:type="paragraph" w:styleId="16">
    <w:name w:val="Body Text Indent 3"/>
    <w:basedOn w:val="1"/>
    <w:qFormat/>
    <w:uiPriority w:val="99"/>
    <w:pPr>
      <w:ind w:firstLine="585"/>
    </w:pPr>
    <w:rPr>
      <w:rFonts w:ascii="宋体" w:cs="宋体"/>
      <w:sz w:val="28"/>
      <w:szCs w:val="28"/>
    </w:rPr>
  </w:style>
  <w:style w:type="paragraph" w:styleId="17">
    <w:name w:val="toc 2"/>
    <w:basedOn w:val="1"/>
    <w:next w:val="1"/>
    <w:qFormat/>
    <w:uiPriority w:val="39"/>
  </w:style>
  <w:style w:type="paragraph" w:styleId="18">
    <w:name w:val="Normal (Web)"/>
    <w:basedOn w:val="1"/>
    <w:qFormat/>
    <w:uiPriority w:val="0"/>
    <w:pPr>
      <w:spacing w:beforeAutospacing="1" w:afterAutospacing="1"/>
      <w:jc w:val="left"/>
    </w:pPr>
    <w:rPr>
      <w:rFonts w:cs="Times New Roman"/>
      <w:kern w:val="0"/>
    </w:rPr>
  </w:style>
  <w:style w:type="paragraph" w:styleId="19">
    <w:name w:val="annotation subject"/>
    <w:basedOn w:val="8"/>
    <w:next w:val="8"/>
    <w:link w:val="44"/>
    <w:qFormat/>
    <w:uiPriority w:val="0"/>
    <w:rPr>
      <w:b/>
      <w:bCs/>
    </w:rPr>
  </w:style>
  <w:style w:type="paragraph" w:styleId="20">
    <w:name w:val="Body Text First Indent"/>
    <w:basedOn w:val="9"/>
    <w:qFormat/>
    <w:uiPriority w:val="0"/>
    <w:pPr>
      <w:widowControl/>
      <w:spacing w:after="120"/>
      <w:ind w:firstLine="100" w:firstLineChars="100"/>
      <w:jc w:val="left"/>
    </w:pPr>
    <w:rPr>
      <w:kern w:val="0"/>
      <w:sz w:val="28"/>
      <w:szCs w:val="20"/>
    </w:r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0"/>
    <w:rPr>
      <w:b/>
    </w:rPr>
  </w:style>
  <w:style w:type="character" w:styleId="25">
    <w:name w:val="page number"/>
    <w:basedOn w:val="23"/>
    <w:qFormat/>
    <w:uiPriority w:val="0"/>
  </w:style>
  <w:style w:type="character" w:styleId="26">
    <w:name w:val="FollowedHyperlink"/>
    <w:basedOn w:val="23"/>
    <w:qFormat/>
    <w:uiPriority w:val="0"/>
    <w:rPr>
      <w:color w:val="800080"/>
      <w:u w:val="none"/>
    </w:rPr>
  </w:style>
  <w:style w:type="character" w:styleId="27">
    <w:name w:val="Hyperlink"/>
    <w:basedOn w:val="23"/>
    <w:qFormat/>
    <w:uiPriority w:val="99"/>
    <w:rPr>
      <w:color w:val="0000FF"/>
      <w:u w:val="single"/>
    </w:rPr>
  </w:style>
  <w:style w:type="character" w:styleId="28">
    <w:name w:val="annotation reference"/>
    <w:basedOn w:val="23"/>
    <w:qFormat/>
    <w:uiPriority w:val="0"/>
    <w:rPr>
      <w:sz w:val="21"/>
      <w:szCs w:val="21"/>
    </w:rPr>
  </w:style>
  <w:style w:type="paragraph" w:customStyle="1" w:styleId="29">
    <w:name w:val="_Style 36"/>
    <w:basedOn w:val="1"/>
    <w:qFormat/>
    <w:uiPriority w:val="0"/>
  </w:style>
  <w:style w:type="paragraph" w:customStyle="1" w:styleId="30">
    <w:name w:val="表格"/>
    <w:basedOn w:val="1"/>
    <w:qFormat/>
    <w:uiPriority w:val="0"/>
    <w:pPr>
      <w:snapToGrid w:val="0"/>
      <w:spacing w:line="240" w:lineRule="auto"/>
      <w:ind w:firstLine="0" w:firstLineChars="0"/>
      <w:jc w:val="center"/>
    </w:pPr>
    <w:rPr>
      <w:sz w:val="21"/>
    </w:rPr>
  </w:style>
  <w:style w:type="paragraph" w:customStyle="1" w:styleId="31">
    <w:name w:val="图表标题"/>
    <w:basedOn w:val="1"/>
    <w:qFormat/>
    <w:uiPriority w:val="99"/>
    <w:pPr>
      <w:widowControl/>
      <w:tabs>
        <w:tab w:val="left" w:pos="1134"/>
      </w:tabs>
      <w:spacing w:before="20" w:beforeLines="20" w:after="10" w:afterLines="10" w:line="240" w:lineRule="auto"/>
      <w:ind w:firstLine="0" w:firstLineChars="0"/>
      <w:jc w:val="center"/>
    </w:pPr>
    <w:rPr>
      <w:rFonts w:cs="Times New Roman"/>
      <w:b/>
      <w:sz w:val="21"/>
      <w:szCs w:val="32"/>
    </w:rPr>
  </w:style>
  <w:style w:type="paragraph" w:customStyle="1" w:styleId="32">
    <w:name w:val="Table Paragraph"/>
    <w:basedOn w:val="1"/>
    <w:qFormat/>
    <w:uiPriority w:val="1"/>
    <w:pPr>
      <w:autoSpaceDE w:val="0"/>
      <w:autoSpaceDN w:val="0"/>
      <w:adjustRightInd w:val="0"/>
      <w:jc w:val="left"/>
    </w:pPr>
    <w:rPr>
      <w:rFonts w:cs="Times New Roman"/>
      <w:kern w:val="0"/>
    </w:rPr>
  </w:style>
  <w:style w:type="paragraph" w:customStyle="1" w:styleId="33">
    <w:name w:val="五号表格"/>
    <w:basedOn w:val="1"/>
    <w:qFormat/>
    <w:uiPriority w:val="0"/>
    <w:pPr>
      <w:jc w:val="center"/>
    </w:pPr>
    <w:rPr>
      <w:kern w:val="0"/>
      <w:szCs w:val="20"/>
    </w:rPr>
  </w:style>
  <w:style w:type="paragraph" w:customStyle="1" w:styleId="34">
    <w:name w:val="正文01"/>
    <w:basedOn w:val="1"/>
    <w:qFormat/>
    <w:uiPriority w:val="99"/>
    <w:pPr>
      <w:spacing w:before="60" w:line="460" w:lineRule="exact"/>
      <w:ind w:firstLine="200"/>
    </w:pPr>
    <w:rPr>
      <w:rFonts w:cs="Times New Roman"/>
      <w:kern w:val="0"/>
    </w:rPr>
  </w:style>
  <w:style w:type="character" w:customStyle="1" w:styleId="35">
    <w:name w:val="font21"/>
    <w:basedOn w:val="23"/>
    <w:qFormat/>
    <w:uiPriority w:val="0"/>
    <w:rPr>
      <w:rFonts w:hint="eastAsia" w:ascii="宋体" w:hAnsi="宋体" w:eastAsia="宋体" w:cs="宋体"/>
      <w:color w:val="000000"/>
      <w:sz w:val="24"/>
      <w:szCs w:val="24"/>
      <w:u w:val="none"/>
    </w:rPr>
  </w:style>
  <w:style w:type="paragraph" w:customStyle="1" w:styleId="36">
    <w:name w:val="p0"/>
    <w:basedOn w:val="1"/>
    <w:qFormat/>
    <w:uiPriority w:val="0"/>
    <w:pPr>
      <w:spacing w:line="240" w:lineRule="auto"/>
      <w:ind w:firstLine="0" w:firstLineChars="0"/>
    </w:pPr>
    <w:rPr>
      <w:sz w:val="28"/>
      <w:szCs w:val="28"/>
    </w:rPr>
  </w:style>
  <w:style w:type="paragraph" w:customStyle="1" w:styleId="37">
    <w:name w:val="表标题"/>
    <w:basedOn w:val="1"/>
    <w:next w:val="1"/>
    <w:qFormat/>
    <w:uiPriority w:val="0"/>
    <w:pPr>
      <w:spacing w:before="20" w:beforeLines="20" w:after="10" w:afterLines="10" w:line="240" w:lineRule="auto"/>
      <w:ind w:firstLine="0" w:firstLineChars="0"/>
      <w:jc w:val="center"/>
    </w:pPr>
    <w:rPr>
      <w:rFonts w:cs="Times New Roman"/>
      <w:b/>
      <w:bCs/>
      <w:color w:val="000000" w:themeColor="text1"/>
      <w:sz w:val="21"/>
      <w:szCs w:val="36"/>
      <w14:textFill>
        <w14:solidFill>
          <w14:schemeClr w14:val="tx1"/>
        </w14:solidFill>
      </w14:textFill>
    </w:rPr>
  </w:style>
  <w:style w:type="character" w:customStyle="1" w:styleId="38">
    <w:name w:val="批注文字 字符"/>
    <w:basedOn w:val="23"/>
    <w:link w:val="8"/>
    <w:qFormat/>
    <w:uiPriority w:val="0"/>
    <w:rPr>
      <w:rFonts w:ascii="Times New Roman" w:hAnsi="Times New Roman"/>
      <w:kern w:val="2"/>
      <w:sz w:val="24"/>
      <w:szCs w:val="24"/>
    </w:rPr>
  </w:style>
  <w:style w:type="character" w:customStyle="1" w:styleId="39">
    <w:name w:val="表格格式 Char"/>
    <w:link w:val="40"/>
    <w:qFormat/>
    <w:uiPriority w:val="0"/>
    <w:rPr>
      <w:rFonts w:ascii="Times New Roman" w:hAnsi="Times New Roman"/>
      <w:color w:val="000000"/>
      <w:sz w:val="21"/>
      <w:szCs w:val="21"/>
    </w:rPr>
  </w:style>
  <w:style w:type="paragraph" w:customStyle="1" w:styleId="40">
    <w:name w:val="表格格式"/>
    <w:basedOn w:val="1"/>
    <w:next w:val="1"/>
    <w:link w:val="39"/>
    <w:qFormat/>
    <w:uiPriority w:val="0"/>
    <w:pPr>
      <w:widowControl/>
      <w:spacing w:line="240" w:lineRule="auto"/>
      <w:ind w:firstLine="0" w:firstLineChars="0"/>
      <w:jc w:val="center"/>
    </w:pPr>
    <w:rPr>
      <w:color w:val="000000"/>
      <w:kern w:val="0"/>
      <w:sz w:val="21"/>
      <w:szCs w:val="21"/>
    </w:rPr>
  </w:style>
  <w:style w:type="character" w:customStyle="1" w:styleId="41">
    <w:name w:val="页脚 字符"/>
    <w:basedOn w:val="23"/>
    <w:link w:val="13"/>
    <w:qFormat/>
    <w:uiPriority w:val="99"/>
    <w:rPr>
      <w:rFonts w:ascii="Times New Roman" w:hAnsi="Times New Roman"/>
      <w:kern w:val="2"/>
      <w:sz w:val="18"/>
      <w:szCs w:val="24"/>
    </w:rPr>
  </w:style>
  <w:style w:type="paragraph" w:customStyle="1" w:styleId="42">
    <w:name w:val="表格内样式"/>
    <w:qFormat/>
    <w:uiPriority w:val="1"/>
    <w:pPr>
      <w:widowControl w:val="0"/>
      <w:jc w:val="center"/>
    </w:pPr>
    <w:rPr>
      <w:rFonts w:ascii="Times New Roman" w:hAnsi="Times New Roman" w:eastAsia="宋体" w:cs="Times New Roman"/>
      <w:kern w:val="2"/>
      <w:sz w:val="21"/>
      <w:lang w:val="en-US" w:eastAsia="zh-CN" w:bidi="ar-SA"/>
    </w:rPr>
  </w:style>
  <w:style w:type="character" w:customStyle="1" w:styleId="43">
    <w:name w:val="页眉 字符"/>
    <w:basedOn w:val="23"/>
    <w:link w:val="14"/>
    <w:qFormat/>
    <w:uiPriority w:val="99"/>
    <w:rPr>
      <w:rFonts w:ascii="Times New Roman" w:hAnsi="Times New Roman" w:cs="Times New Roman"/>
      <w:kern w:val="2"/>
      <w:sz w:val="24"/>
      <w:szCs w:val="24"/>
    </w:rPr>
  </w:style>
  <w:style w:type="character" w:customStyle="1" w:styleId="44">
    <w:name w:val="批注主题 字符"/>
    <w:basedOn w:val="38"/>
    <w:link w:val="19"/>
    <w:qFormat/>
    <w:uiPriority w:val="0"/>
    <w:rPr>
      <w:rFonts w:ascii="Times New Roman" w:hAnsi="Times New Roman" w:eastAsiaTheme="minorEastAsia" w:cstheme="minorBidi"/>
      <w:b/>
      <w:bCs/>
      <w:kern w:val="2"/>
      <w:sz w:val="24"/>
      <w:szCs w:val="24"/>
    </w:rPr>
  </w:style>
  <w:style w:type="paragraph" w:styleId="45">
    <w:name w:val="No Spacing"/>
    <w:qFormat/>
    <w:uiPriority w:val="0"/>
    <w:pPr>
      <w:widowControl w:val="0"/>
      <w:ind w:firstLine="200" w:firstLineChars="200"/>
      <w:jc w:val="both"/>
    </w:pPr>
    <w:rPr>
      <w:rFonts w:ascii="Times New Roman" w:hAnsi="Times New Roman" w:eastAsia="宋体" w:cs="Times New Roman"/>
      <w:kern w:val="2"/>
      <w:sz w:val="24"/>
      <w:lang w:val="en-US" w:eastAsia="zh-CN" w:bidi="ar-SA"/>
    </w:rPr>
  </w:style>
  <w:style w:type="character" w:customStyle="1" w:styleId="46">
    <w:name w:val="批注框文本 字符"/>
    <w:basedOn w:val="23"/>
    <w:link w:val="12"/>
    <w:qFormat/>
    <w:uiPriority w:val="0"/>
    <w:rPr>
      <w:rFonts w:eastAsiaTheme="minorEastAsia" w:cstheme="minorBidi"/>
      <w:kern w:val="2"/>
      <w:sz w:val="18"/>
      <w:szCs w:val="18"/>
    </w:rPr>
  </w:style>
  <w:style w:type="paragraph" w:customStyle="1" w:styleId="47">
    <w:name w:val="4"/>
    <w:basedOn w:val="1"/>
    <w:qFormat/>
    <w:uiPriority w:val="0"/>
    <w:pPr>
      <w:widowControl/>
      <w:spacing w:after="160" w:line="240" w:lineRule="exact"/>
      <w:ind w:firstLine="0" w:firstLineChars="0"/>
      <w:jc w:val="left"/>
      <w:textAlignment w:val="center"/>
    </w:pPr>
    <w:rPr>
      <w:rFonts w:eastAsia="宋体" w:cs="Times New Roman"/>
      <w:sz w:val="21"/>
      <w:szCs w:val="20"/>
    </w:rPr>
  </w:style>
  <w:style w:type="paragraph" w:customStyle="1" w:styleId="48">
    <w:name w:val="默认段落字体 Para Char Char Char Char"/>
    <w:basedOn w:val="1"/>
    <w:qFormat/>
    <w:uiPriority w:val="0"/>
    <w:pPr>
      <w:spacing w:line="240" w:lineRule="auto"/>
      <w:ind w:firstLine="0" w:firstLineChars="0"/>
    </w:pPr>
    <w:rPr>
      <w:rFonts w:eastAsia="宋体" w:cs="Times New Roman"/>
    </w:rPr>
  </w:style>
  <w:style w:type="paragraph" w:customStyle="1" w:styleId="49">
    <w:name w:val="小四表格"/>
    <w:basedOn w:val="33"/>
    <w:qFormat/>
    <w:uiPriority w:val="0"/>
  </w:style>
  <w:style w:type="paragraph" w:customStyle="1" w:styleId="50">
    <w:name w:val="表格内容"/>
    <w:basedOn w:val="1"/>
    <w:qFormat/>
    <w:uiPriority w:val="0"/>
    <w:pPr>
      <w:overflowPunct w:val="0"/>
      <w:adjustRightInd w:val="0"/>
      <w:spacing w:before="40" w:after="60" w:line="200" w:lineRule="atLeast"/>
      <w:textAlignment w:val="baseline"/>
    </w:pPr>
    <w:rPr>
      <w:rFonts w:ascii="Arial" w:hAnsi="Arial" w:eastAsia="仿宋_GB2312"/>
      <w:kern w:val="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5" Type="http://schemas.openxmlformats.org/officeDocument/2006/relationships/fontTable" Target="fontTable.xml"/><Relationship Id="rId74" Type="http://schemas.openxmlformats.org/officeDocument/2006/relationships/customXml" Target="../customXml/item2.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43.jpeg"/><Relationship Id="rId70" Type="http://schemas.openxmlformats.org/officeDocument/2006/relationships/image" Target="media/image42.jpeg"/><Relationship Id="rId7" Type="http://schemas.openxmlformats.org/officeDocument/2006/relationships/header" Target="header3.xml"/><Relationship Id="rId69" Type="http://schemas.openxmlformats.org/officeDocument/2006/relationships/image" Target="media/image41.jpeg"/><Relationship Id="rId68" Type="http://schemas.openxmlformats.org/officeDocument/2006/relationships/image" Target="media/image40.jpeg"/><Relationship Id="rId67" Type="http://schemas.openxmlformats.org/officeDocument/2006/relationships/image" Target="media/image39.jpeg"/><Relationship Id="rId66" Type="http://schemas.openxmlformats.org/officeDocument/2006/relationships/image" Target="media/image38.jpeg"/><Relationship Id="rId65" Type="http://schemas.openxmlformats.org/officeDocument/2006/relationships/image" Target="media/image37.png"/><Relationship Id="rId64" Type="http://schemas.openxmlformats.org/officeDocument/2006/relationships/image" Target="media/image36.png"/><Relationship Id="rId63" Type="http://schemas.openxmlformats.org/officeDocument/2006/relationships/image" Target="media/image35.jpeg"/><Relationship Id="rId62" Type="http://schemas.openxmlformats.org/officeDocument/2006/relationships/image" Target="media/image34.png"/><Relationship Id="rId61" Type="http://schemas.openxmlformats.org/officeDocument/2006/relationships/image" Target="media/image33.png"/><Relationship Id="rId60" Type="http://schemas.openxmlformats.org/officeDocument/2006/relationships/image" Target="media/image32.png"/><Relationship Id="rId6" Type="http://schemas.openxmlformats.org/officeDocument/2006/relationships/header" Target="header2.xml"/><Relationship Id="rId59" Type="http://schemas.openxmlformats.org/officeDocument/2006/relationships/image" Target="media/image31.png"/><Relationship Id="rId58" Type="http://schemas.openxmlformats.org/officeDocument/2006/relationships/image" Target="media/image30.png"/><Relationship Id="rId57" Type="http://schemas.openxmlformats.org/officeDocument/2006/relationships/image" Target="media/image29.png"/><Relationship Id="rId56" Type="http://schemas.openxmlformats.org/officeDocument/2006/relationships/image" Target="media/image28.png"/><Relationship Id="rId55" Type="http://schemas.openxmlformats.org/officeDocument/2006/relationships/image" Target="media/image27.png"/><Relationship Id="rId54" Type="http://schemas.openxmlformats.org/officeDocument/2006/relationships/image" Target="media/image26.jpeg"/><Relationship Id="rId53" Type="http://schemas.openxmlformats.org/officeDocument/2006/relationships/image" Target="media/image25.jpeg"/><Relationship Id="rId52" Type="http://schemas.openxmlformats.org/officeDocument/2006/relationships/image" Target="media/image24.jpeg"/><Relationship Id="rId51" Type="http://schemas.openxmlformats.org/officeDocument/2006/relationships/image" Target="media/image23.jpeg"/><Relationship Id="rId50" Type="http://schemas.openxmlformats.org/officeDocument/2006/relationships/image" Target="media/image22.jpeg"/><Relationship Id="rId5" Type="http://schemas.openxmlformats.org/officeDocument/2006/relationships/header" Target="header1.xml"/><Relationship Id="rId49" Type="http://schemas.openxmlformats.org/officeDocument/2006/relationships/image" Target="media/image21.jpeg"/><Relationship Id="rId48" Type="http://schemas.openxmlformats.org/officeDocument/2006/relationships/image" Target="media/image20.jpeg"/><Relationship Id="rId47" Type="http://schemas.openxmlformats.org/officeDocument/2006/relationships/image" Target="media/image19.jpeg"/><Relationship Id="rId46" Type="http://schemas.openxmlformats.org/officeDocument/2006/relationships/image" Target="media/image18.jpeg"/><Relationship Id="rId45" Type="http://schemas.openxmlformats.org/officeDocument/2006/relationships/image" Target="media/image17.jpeg"/><Relationship Id="rId44" Type="http://schemas.openxmlformats.org/officeDocument/2006/relationships/image" Target="media/image16.jpeg"/><Relationship Id="rId43" Type="http://schemas.openxmlformats.org/officeDocument/2006/relationships/image" Target="media/image15.jpeg"/><Relationship Id="rId42" Type="http://schemas.openxmlformats.org/officeDocument/2006/relationships/image" Target="media/image14.jpeg"/><Relationship Id="rId41" Type="http://schemas.openxmlformats.org/officeDocument/2006/relationships/image" Target="media/image13.jpeg"/><Relationship Id="rId40" Type="http://schemas.openxmlformats.org/officeDocument/2006/relationships/image" Target="media/image12.png"/><Relationship Id="rId4" Type="http://schemas.openxmlformats.org/officeDocument/2006/relationships/endnotes" Target="endnotes.xml"/><Relationship Id="rId39" Type="http://schemas.openxmlformats.org/officeDocument/2006/relationships/image" Target="media/image11.jpeg"/><Relationship Id="rId38" Type="http://schemas.openxmlformats.org/officeDocument/2006/relationships/image" Target="media/image10.jpeg"/><Relationship Id="rId37" Type="http://schemas.openxmlformats.org/officeDocument/2006/relationships/image" Target="media/image9.jpeg"/><Relationship Id="rId36" Type="http://schemas.openxmlformats.org/officeDocument/2006/relationships/image" Target="media/image8.jpeg"/><Relationship Id="rId35" Type="http://schemas.openxmlformats.org/officeDocument/2006/relationships/image" Target="media/image7.jpeg"/><Relationship Id="rId34" Type="http://schemas.openxmlformats.org/officeDocument/2006/relationships/image" Target="media/image6.png"/><Relationship Id="rId33" Type="http://schemas.openxmlformats.org/officeDocument/2006/relationships/image" Target="media/image5.png"/><Relationship Id="rId32" Type="http://schemas.openxmlformats.org/officeDocument/2006/relationships/image" Target="media/image4.png"/><Relationship Id="rId31" Type="http://schemas.openxmlformats.org/officeDocument/2006/relationships/image" Target="media/image3.png"/><Relationship Id="rId30" Type="http://schemas.openxmlformats.org/officeDocument/2006/relationships/image" Target="media/image2.png"/><Relationship Id="rId3" Type="http://schemas.openxmlformats.org/officeDocument/2006/relationships/footnotes" Target="footnotes.xml"/><Relationship Id="rId29" Type="http://schemas.openxmlformats.org/officeDocument/2006/relationships/image" Target="media/image1.jpeg"/><Relationship Id="rId28" Type="http://schemas.openxmlformats.org/officeDocument/2006/relationships/theme" Target="theme/theme1.xml"/><Relationship Id="rId27" Type="http://schemas.openxmlformats.org/officeDocument/2006/relationships/header" Target="header11.xml"/><Relationship Id="rId26" Type="http://schemas.openxmlformats.org/officeDocument/2006/relationships/footer" Target="footer12.xml"/><Relationship Id="rId25" Type="http://schemas.openxmlformats.org/officeDocument/2006/relationships/header" Target="header10.xml"/><Relationship Id="rId24" Type="http://schemas.openxmlformats.org/officeDocument/2006/relationships/footer" Target="footer11.xml"/><Relationship Id="rId23" Type="http://schemas.openxmlformats.org/officeDocument/2006/relationships/header" Target="header9.xml"/><Relationship Id="rId22" Type="http://schemas.openxmlformats.org/officeDocument/2006/relationships/footer" Target="footer10.xml"/><Relationship Id="rId21" Type="http://schemas.openxmlformats.org/officeDocument/2006/relationships/header" Target="header8.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footer" Target="footer4.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extobjs>
    <extobj name="ECB019B1-382A-4266-B25C-5B523AA43C14-1">
      <extobjdata type="ECB019B1-382A-4266-B25C-5B523AA43C14" data="ewoJIkZpbGVJZCIgOiAiMTE2NTI3NzIwNzY4IiwKCSJHcm91cElkIiA6ICIyMDA2MTI2MDkiLAoJIkltYWdlIiA6ICJpVkJPUncwS0dnb0FBQUFOU1VoRVVnQUFBcUFBQUFDbUNBWUFBQUFGK2ozeEFBQUFDWEJJV1hNQUFBc1RBQUFMRXdFQW1wd1lBQUFnQUVsRVFWUjRuTzNkZTN4VDVmMEg4TTg1YVpPbTZiMmx0RTB2b1hkYTJqUUJ2T0ZkM0FZL0ZKM2JSRVYvWTRxT3VUbm5tRTQzTnR6VXpmbER4WjgzRkMrL0tVTlI1dzBSVVJGVVJHRzBoVktFVWtvcHBaZjBRcHVtYWROY250OGZiV0xhcGpkb1E2R2Y5K3ZGS3publBPZEd2em41NW5tZTh4eUF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JSjNxQXlBNlUwVkdSbDUvL1BqeGY0MWtuZHpjM1BMUzB0SjBBRkFxbGRscXRUcFpsdVZKU3FWeVVrQkFRS0pTcVV6czZ1cXFQbmJzMk5LeE9Xb2lJcUt4RjNDcUQ0RG9USldjblB5ME93SFY2L1V0RG9lanpudTVVcWxNTHlvcUd2QXptSmlZK05lSWlJZ2ZPWjNPTmxtV2cxdGFXdDYwV3ExNzJ0dmJ2eHJyWXljaUlocExURUNKL0tTMHREVGJlem8vUDcvUi9UNDlQZjBqcFZLcFZTcVZTVGs1T1hzQllOKytmUmNBK0NtQTlvS0NBc3ZodzRjWCtQV0FpWWlJeGdnVFVLSlJscGVYVndjQUNvVWlMQzh2cis3dzRjUFhBVUJ1YnU1KzczSUtoU0xDL2I2OHZQejdQV1hLOSszYk4yMklYUVFCNkJ6ZG95WWlJdklmSnFCRW82eWtwQ1FPNkc1MmQ3KzMyV3hsKy9mdlA4dTdYSFoyZHFIN2ZVUkV4UHlFaElRSHZXdEFUU2JUazhIQndkTURBZ0tpWlZsVzUrYm1IcFFrU2RuVjFWVlZWbFoyZ1QvUGlZaUlhRFR4SmlTaU1hTFg2MXYyNzk4LzNXYXptWEp6YzNmNkttTzMyNCtYbFpXZDY1NzJ2Z2twTkRUMEFwZkxwUVRRa0pHUjhWVnhjWEVFQUlkL2pwNklpR2pzc0FhVWFIU3BvcU9qRjJnMG11a0toU0k4UFQzOXcwT0hEdjFBb1ZERTdObXpKd1lBWW1KaWJtdHNiRndGZk5jUE5DY25aNjhrU1FFcWxXcUt1d2Ewdkx6ODJxNnVybEt2YlRQNUpDS2lNd0lUVUtMUkpVVkVSUHk0cmExdGk5UHBiQzB0TGMzc3MxeXAxV29mZGllZ2J2djI3WnNXRXhPek9EazUrYm1lbTQvYVltSmliZzRNREx4YW9WQk1raVFwS0NNajR4T0ZRaEVtaEJESGp4OS8zV1F5UGVxLzB5SWlJaG85VEVDSlJsZm5vVU9INWdGQWZIejhIL3N1Vkt2VnNYYTcvWmlQOVZTUmtaSFhkblYxSGM3TXpIeW5zYkh4bnk2WHk5N1IwYkhINlhRMnhzVEUzSEx3NE1GckFMU2krM1BMenk0UkVaMjI1Rk45QUVRVFFYdDcrOWNBRUJ3Y1BEc3dNRkFiRmhiMmc1NzUyd0FnSVNGaGVXdHI2MXRDQ0ZkWldka1BJaUlpNXRsc3RzS1dscGIzMnRyYXZnSWcwSjE4UXFWU3BXVm5aMjg1UmFkQ1JFUkVST09WWHE5djhaNVdxOVdKT1RrNTMwWkZSVjJibDVkWDdWVkRHcGllbnY0UkFFVnVibTY1cjIwVkZCUllBYWdBSURJeWNzR1VLVk5lSDlPREp5SWlHa05zeGlNYWZSRUFnb1FRdHA3cDZFbVRKbDBYR3h0NzU5R2pSMjgzbTgwZmRYUjBiTlBwZEIrb1ZLcWN5c3JLbjVXWGw4OEQ0QnhvZzYydHJlL3A5WHFURU1JT3dIWG8wS0hyL1hFaVJFUkVSSFFheU03T0xzN1B6emRwdGRvSFEwTkRMOURyOWNlVGs1TlhxZFhxcEQ1Rm96SXpNNzlRcTlWbnUyZkV4TVRjNXVmREpTSWlJcUl6VU9DcFBnQWlJaUlpSWlJaUlpSWlJaUlpSWlJaUlpSWlJdXBIRGcwTlBUOHBLZWt4K083dnFkQnF0U3YwZW4yelhxOC9ucGlZK0RBQXlkZUdNakl5UGpNYWpRSkFpSy9sR28ybUlDTWo0K09DZ2dKTFFVRkJlM3A2K2dhVlNwVStlcWRDUkVSRVJPTmVYbDVlYlY1ZVhrMVA0aGpVZDNsY1hOdzlPVGs1MzZyVjZtU2xVcG1UbjU5dmlvcUt1cmx2dWNqSXlBVjVlWG0xZ3lTZ29mbjUrVTFhcmZZaGRBLzFOQ2tsSmVXVm5KeWNiMGY5cElpSWlJaG8vQW9PRGphcTFlcHpCa3BBcDAyYmRpUTZPdm9tOTdSV3EzMHdNek56YTU5aW1tblRwbFZObmp6NXpvRVNVSTFHbys5WkZ1TTFiN2JCWUxCaGdCcFZJaUtpOFlpUDRpUTZTVmFydFhDUXhYRktwVExaWXJGODdaN1IzdDcrSDdWYW5lOWRLQ0VoNFk5bXMzbXoyV3ordXY4bVBPdDlhN1BaeXBPVGsvK0c3cWNpVGRKcXRjdWFtNXRmUmZlak9vbUlpRTRMVEVDSnhsQndjSEE4QU5oc05wTjdudFBwYkZRb0ZCRUFGQUNnVXFreVltSmlicW1xcXZyOUVKdnJxcWlvdUVTdFZ1Zms1K2RYRlJRVVZIWjBkT3c1Y3VUSXo4ZnVESWlJaUVZZkUxQ2lzYVhvZVhWNXpYT2h1OFpTQUVCU1V0TEt1cnE2dndHb0cycGpHbzFtVGxCUVVGNWpZK096WnJONVExUlUxRTBhamViQ1VUOXFJaUtpTWNSbndST05JYWZUZVJ3QWdvS0Nvam83TzgwQW9GQW9vaDBPUnlNQVYwUkV4SlZLcFZKbk1wbitkeGliaTBoTVRGeFpWVlgxMzgzTnpXOEFnRmFyL1IrZFRyZXF0TFNVZDhJVEVkRnBneldnUkdQSVpyTlZPcDNPRnBWS05jTTlUNjFXejdSYXJkOEFRRlJVMUNLbFVwbXMxK3NiOUhwOVMxWlcxc2NBb05mcnE4UEN3cjd2dmEzZzRPQXBzaXlybTV1YnQ3am50YmEyYmxDcFZLbmdaNW1JaUlob1lobnNMdmlrcEtUSHBrNmRXZ1Fndm1jWXB2cSt5YVdQN2ZnYWhrbWoxK3ViazVPVG53QVFHUndjbkpDZW52NStWbGJXbHNHT3pXZzAvakl2THk5MTVHZEZSRVEwTmpoMEM5Rko2a2tZK3lrc0xIUi92dFFwS1NtcklpTWpyM0U2blMzMTlmVVBtRXltWjN5dG8xYXJ6NWs2ZGVyMndzTENVQUFXdFZxZG1KcWF1cm0wdERRYmdFdXRWcCtUa3BMeWhGcXRMbkM1WEJhejJienA4T0hEZDJLUS9xTmV4MWNraEZqamNEZytLQ2twMlg4U3AweEVSSFJTbUlBU25lRjhKY2hDaUgxQ2lGZWRUdWY2a3BLU2tsTnhYRVJFTkhFeEFTVTZ3dzFVUSt2bEVJQlhBYnhmV0ZoWUNJNHBTa1JFWTR3SktORXdGQlFVWEF4QWY2cVA0MFRJc3Z6NENJb2Y3YWtaZlcvUG5qMDcwSHY0S0NJaW9sSEJZWmlJaGtHU3BJMlNKS2xPOVhHTU5TR0VFa0JDUUVCQU9QZ0RsWWlJeGdnVFVLSmg4RW8rUjFLYk9GN2NPZGhDSVVTMUpFbWZBR2dwS2lxNkMyeUNKeUtpTWNZYURxSmhjUGVqOUxxei9iUXh3RTFJaHlWSjJ1Qnl1ZjVWWEZ6ODFhazRMaUlpbXJoWUEwbzBjUndRUW53Z1NkSy9pb3FLZHAzcWd5RWlvb21MQ1NqUkdVNEk4VGVYeTdWbTkrN2RwYWY2V0lpSWlBQW1vRVJudktLaW92dE85VEVRRVJGNTQvT2ppWWlJaU1pdm1JQVNFUkVSa1Y4eEFTVWlJaUlpdjJJQ1NrUkVSRVIreFFTVWlJaUlpUHlLQ1NnUkVSRVIrUlVUVUNJaUlpTHlLeWFnUkVSRVJPUlhURUNKaUlpSXlLK1lnQklSRVJHUlh6RUJKU0lpSWlLL1lnSktSRVJFUkg3RkJKU0lpSWlJL0lvSktCRVJFUkg1RlJOUUlpSWlJdklySnFCRVJFUkU1RmRNUUltSWlJaklyNWlBRWhFUkVaRmZNUUVsSWlJaUlyOWlBa3BFUkVSRWZzVUVsSWlJaUlqOGlnbm94Q0NIaG9hZW41U1U5QmlBUUIvTEZWcXRkb1ZlcjIvVzYvWEhFeE1USHdZZytkcFFSa2JHWjBhalVRQUljYy9UYURRRkdSa1pIeGNVRkZnS0NncmEwOVBUTjZoVXF2U3hPUlVpSWhwbjRsSlRVLzlkVUZCZ3ljL1BiNHlQajM4QUkvZ09TVXBLZWpRL1A5OWtNQmpzMmRuWnU5UnE5VG0rMWxXcFZCbXBxYWx2NnZYNlpvUEIwSm1lbnY1cFVGQlE2dGljRW8wMUpxQVRRRjVlM2pHZFRyZHUwcVJKZHdKUTlGMGVGeGUzTkR3OGZHNVpXVm5CdDk5K095c3FLbXBSVkZUVXovcVdpNHlNWEJBVUZKVGRaM1pvV2xyYXAxYXJkV2R4Y1hGaWNYR3h6bTYzTjZXbHBiMC9WdWREUkVUalIxWlcxcnNBbk1YRnhVa0hEaHc0SnlvcTZrZXhzYkUvNzF0dWdPOFFtTTNtci9iczJaTlZWRlEwcWFPam95ZzlQZjNmOEpIQWhvZUh6MjlyYS90czkrN2RhVVZGUlNrQWJDa3BLYStPeVVrUjBja0xEZzQycXRYcWMzcCtkUWIxWFQ1dDJyUWowZEhSTjdtbnRWcnRnNW1abVZ2N0ZOTk1temF0YXZMa3lYZDYvM3JWYURUNm51a1lUMEdOWnJiQllMQmhnRi9BcHlPajBTaDZ6cE9JaUhxb1ZLb01vOUVvMUdwMXNudGVaR1RrZ3V6czdQLzBLZXJ6TzZTdmtKQ1FTd3dHUXhkOFZKYjBuYWZSYUdZYmpVYlhBR1ZwbkFzNDFRZEFZODlxdFJZTzFLUUJJRTZwVkNaYkxKYXYzVFBhMjl2L0V4TVQ4d3Z2UWdrSkNYODBtODJieldiejExcXRGbDVsdjdYWmJPWEp5Y2wvcTZxcStpV0FNSzFXdTZ5NXVmbFZBQ05LMkl4RzQ2Y0FMaDNKT3Y0MlhwTlFJY1NPb3FLaXMwLzFjZmpMNlJBcjQ5VkVpUlhHeUlrYlNZd0VCQVNvZTk2NjNQTzZ1cm9hMUdyMU5POXlBMzJIZUpIVWFuWFM1TW1UZjkzUTBQQTBBS2VQTXIzbUtaWEt5WGE3M1RSQVdScm4yQVEvd1FVSEI4Y0RnTTFtTTdubk9aM09Sb1ZDRVlHZVg1VXFsU29qSmlibWxxcXFxdC83MkVSWFJVWEZKV3ExT2ljL1A3K3FvS0Nnc3FPalk4K1JJMGY2TmI4TUE3OHNUcEFrU1djTnN2aE03Si9GV0RsQlE4VEttWVF4Y29KR0VpUHQ3ZTM3dXJxNmpreWVQUGxCQUJIQndjRUpDUWtKOTBxU3BFSlBKZGNRM3lHZW1zeXBVNmNla1NSSlVWMWQ3Yk5jSDRHVEowLytUVk5UMDZyaEhpc1JuUUlETmNFSEJ3ZlA2SmtmNXA0WEdobzZxNmRaUXdhQTlQVDBEYkd4c1hmMTJZNG5RWW1KaVZtczErdk5DUWtKOTZlbXByNmgxK3RiTlJyTlpTTTlSbmN6TjQzTVVOMERzckt5dmtsTlRYMERRS1JLcFVyUHpjM2RIeHNidTZSdnVjakl5QVY1ZVhtMWZmKys0ZUhoUHdJUUNTQWlKU1ZsZFY1ZVhnMThKTEN4c2JGTEowMmFkSHRQMmNucDZla2Jzckt5dmhwcEhBd0hZK1hFVEtTdUpHTVZJenQyN0JDWFhYYVpzTmxzUWdnaEdoc2IrKzJudkx5ODEvVGF0V3ZGK2VlZkwxNTc3VFVoaEJBWFhuaWhaOW11WGJ2RTdObXp4WjQ5ZTRRUVF1emZ2MTljY2NVVjRwbG5uaEZPcDFNODk5eHp2ZjUrWSsxRVlrU2owZVJsWldWOVpUQVl1bkp6Yy9mSHg4Zi8wV0F3ZExxWEQvVWQwa05XS3BVNVdWbFozK2gwdWpWRDdUTTVPZm41ckt5c2J3Q29SbktzTkg2d0JuU0NjenFkeHdFZ0tDZ295ajFQb1ZCRU94eU9SZ0N1aUlpSUs1VktwYzVrTXYzdkFKdUlTRXhNWEhuMDZOR2JhMnBxL2x4UlVmSGp4c2JHNTNVNkhYK1ZqZ01xbFNwRG85R2NWVnRiKzFzQXgyMDJXM2xOVGMzeXFLaW9tL3NVMVdpMTJuK1lUS2FIKzI2anRiWDFUUURIQWJRME5UV3RDUWdJaUlHUGE0ZkpaSHFzb2FIaHFaNnk5YlcxdFk5cU5KcHp3UDVaZEFaNTVaVlhzSERoUWlpVlNwL0x0MnpaZ2h0dnZCSFYxZFdlZVFzV0xNQ3p6ejZMNXVibWZ1VzNiZHVHKysrL0gzbDVlUUNBckt3c3ZQamlpM0M1dWx1MG4zdnV1VjdsclZZcnRtL2ZqcWVlZWdwbXMzbTBUdXVrdExlM2x4dzRjT0M4b3FJaVpXbHBhYmJkYnEvdjdPdzhBQUREK0E1eGMzVjFkZTJycmEyOVB6SXk4c2NZSkQvUmFyVXJRa05ETHp4dzRNQVZBR3lqZUNya1Ird0RPc0haYkxaS3A5UFpvbEtwWm5SMmRsWUNnRnF0bm1tMVdyOEJnS2lvcUVWS3BUSlpyOWMzQUlBa1NRb0EwT3YxMVljUEg3N1c0WENZWkZsV056YzNiM0Z2czdXMWRjUGt5WlB2UXZjRnhOVjNuK1EvN0o5Rk5IcEtTMHV4YmRzMkxGKyszT2Z5dlh2M1l0bXlaYmp2dnZ1UW1KZ0lBUGpKVDM3U3E4emF0V3ZSM3Q2T0dUTm1JQ1VsQlFxRkFsOTg4UVVlZi94eHBLZW40N3p6enNQY3VYUHhpMTk4MXcxLzQ4YU5LQ29xQXRDZHpCWVVGT0N6eno3RGRkZGROelluZXBJaUlpSiszTkxTOGo0dzlIZUkyV3orcU0vcVFnaGh4d0RmSFZxdDlxSHc4UEM1cGFXbEZ3TXcrU3BEcHdjbW9PUnNibTUrT1NFaDRRK3RyYTNibEVwbDVLUkprMjZ0ckt5OENRQXFLaXF1OWk2c1ZxdlBtVHAxNnZiZHUzY25BckFBMERpZHp1UEp5Y25McXFxcS9od2NIS3lPaTR2N1RYdDcrK2RnOG5uS2VmZlBxcXlzL0hWd2R3Y3Q3LzVaRG5mL3JEMTc5dVNwMVdwZDMyMW9OSnJaV1ZsWkh3T0EyV3hlei81Wk5CRUpJZkRJSTQ4QUFBSUQrdytuL00wMzMyRHAwcVc0L2ZiYk1XL2VQTS84ZGV2VzRkaXhZOWkrZlR0Mjd0eUpPWFBtNE1VWFg4UnR0OTJHeno3N0RIbDVlVGo3N0xPUm5aME5wVktKMy8zdWQzanZ2ZmR3enozMzRJNDc3b0RMNWNLdVhidGdOQnJ4NXB0djRyMzMzZ01BWEhiWlpWQ3B4a2ZyYzJobzZIbHRiVzM3QUVoYXJYYXBXcTNPTFM4dnZ3NFkranRFcVZUbWFEU2FndVBIajcrdFZxc254Y2ZITDJ0dWJsN25hejhKQ1FuTHc4UEQ1Ky9idCs5aUFQVmpmVjQwdHRnRVB3RVlqVVl4ZGVyVTdUM3ZPL3IyOFRsNjlPaDlWcXUxcEtDZ29Ed3JLK3ZqdXJxNjVUNStsUTZrdmF5c2JHNXdjUEE1Qm9PaFBpTWpZNi9UNld3L2NPREFnakU1R1JvcHgrSERoNjlRcVZRWkJvUEJOR1hLbE0wV2kyV0xFTUlHd0FFQVNVbEpLK3ZxNnY0R29NN1hCdHJiMno4cExDeFU3TjI3TjFlaFVNVHFkTG9YaHRwcGNuTHkwMElJWjAxTnpVT2plenBFcDhhYU5XdmdjRGdHWEw1MDZWTGNjODg5V0xEZ3UwdGZXVmtacnI3NmFxeFlzUUlhalFiejU4L0hva1dMSU1zeUZpNWNpTldyVnlNc0xBd2xKU1ZZdG13WjdycnJManp4eEJQSXlNaEFSMGNIMXExYkIxbVc4WWMvL0FGejVzenB0VCtielRadUV0RHc4UEQ1QlFVRlJ3c0tDcXJVYW5WK1dWblpSUUNhaHJPdUxNdnRreWRQWG1vd0dGb3pNek9MT3pvNlNucEdWSUZhclU3TXpjMHRRMCt1RWhjWDkrZWdvS0FjbzlGWTUvNGVHMmg0UVNLaVllT05KU2RtcERjTnhNVEVMSjQ2ZGVwdW9MdC9WazVPemo3MFBDRnJrQnNFQUFCaFlXRnplOGJvRzdSL1ZtNXU3Z0VBc1NQNSs0OEVZK1hFOENha0UzZmRkZGVKZ3djUENxUFJLTXhtc3hCQ2lLcXFLdkdyWC8xS0dJMUdzWGZ2WHAvck9Sd096M3Z2bTQvY1pzMmFOZWgrWjh5WTRYbHZOQnFGM1c0WFRVMU40dnp6enorUjB4alNSSW9ST3JYWUJEL0dnb09EWjFpdDFsMFk0WmlZZEdiYnQyOGZwazZkQ2tueS8xajk3SjkxZWptVnNVTGZlZXFwcHhBWkdRa0FhRzV1eHNxVks3Rng0MGJNbmowYkFKQ2JtK3R6UGU5K21sYXJ0VitmVUp2TjVwbjN5Q09QSUNVbEJTdFhyc1NVS1ZOdzVaVlg5dHZleXkrL2pGV3JWdUhxcTYvdXQ0ek9LQXF3Ly95WlI2VlNaV20xMmhValhjOTdXSW5oWXZQQThJMUdqWVhWYXZXOFg3QmdnV2hwYWZGWnp1bDBpcWVlZWtxWVRLWit5eHdPaDJodGJSVlZWVlZpejU0OVl2UG16ZUxRb1VNbmRWeDlHWTFHenpBdW83R3R3V29zUWtORHp3TVFBU0JTcTlVK21KZVhkd3hBdEsreWZXdEFsVXBsVG1SazVQWGRpOVRKV1ZsWlh5VW5KNy9rYTkyRWhJVGxPVGs1cFFBbW4yd3NET1YwalJXVHlTUzJiZHMyb3VQMFo2eWNTY2FxbHR4b05JcjYrbnF4Y3VWS1VWMWQ3WE1ZcHIxNzk0b1hYbmloMzdyRHJRRzk2cXFyeEtaTm00UVEvV3RBM1Nvcks4WDk5OTkvd3VjeGtJa1VJeWNpSkNUa0VxVlMyZTl4b3RIUjBUL0ZBT01yWjJabWJvMklpTGlxN3lwNnZiNDVLQ2hJNTJzZFgvbUd3V0J3ZUwvNkVOWDMySHFPTjJlQThxZlVoS3dCalk2T3ZrR2hVRVFOWFhMTW5ORjNoeHNNaHNzQU9JcUtpcmFocDUraFA5VFYxZUhHRzIvRVJ4OTlCRm1XVVZaV05taWZMVW1TY04xMTErSEJCeC9FNGNPSHNXclZLdGp0ZGtpU0JLdlZpclMwTklTRmhTRWlJZ0p6NXN4QmFtb3F1cnE2Y082NTV5SWtwSGNMdGNWaTZUWFBZckZneDQ0ZFVDaUdQd0tSeStXQ0xJOSt0K3p3OFBENWFXbHBIL1VjMTVZVDZaK2wwK2xlZHJsY2x1UEhqNzlSVlZYbEhzOHZNVFUxZFhOcGFXazJBRmRjWE55ZkFjQm9OUGJxUzFwWVdLZ0c0UFBIbThGZ3VFbVNwTkxDd3NJaStQRXo0WTlZOGNYbGNtSDU4dVY0NmFXWE1NQm9BOE15VnJFeUhwMnE2OGxnMUdvMTdyampEZ0JBVTFQL2oxSmxaU1cyYmRzR25VNkhaNTk5MWpOL3FCcFFBSGowMFVkUlUxT0RjODg5ZDlCanFLMnR4Y0dEQjAvbU5DYU1VWXloRUoxTzk5TEJnd2N2NzdzZ09UbjUyYWFtcG4raVQydG5SRVRFL0pDUWtQTmxXUTZQaTR0YkRnRHQ3ZTNiaEJBT1NaS0NkRHJkTzk3bG01cWFudThaem03RWxFcGxiSHg4L08rT0hEbmlHV1pQcTlVK1dGdGIrOWV1cnE1OUo3TE5zVFJSRXRBQW85Rm9kemdjdmE0VUVSRVJqYjBLQlFSRUZ4WVdTZ0NRbVpuNWhVcWxtdUs5WEpJa1ZWNWVYalg2S0NrcFNSeHM1eUVoSWVkWkxKYk5BQkFYRjNlUFVxbk1ycXFxV25TaUozTWFtQ05KMG04TkJrTXpnTmNCL0x1dHJlMkw4dkx5TVIydjdhMjMzc0pGRjEwMHJDOW1XWmF4Wk1rU1pHUmtvTE96RTlkY2N3M216NThQdFZydFNUTFhyZk41SXlaa1djYldyVnM5MDA2bkUyZWRkVmF2ZWRPblR4L3lHSGJ2M28yWk0yY0M2RzVXcTZ5c0hIQjRsNU5SWFYxOVQzVjE5VDNES2R2UjBmRzErek1BQUoyZG5VZjI3OTl2SEtCc2RXbHBhYVo3Mm51OTRaSWs2UTRBMHcwR3d6RkprdGE2WEs1M2lvdUx2OFlZTnozNUsxYW1UNStPK1BqNFh2T1VTaVZ1dSsyMmZtWGR3L0Q0NHE5WUdhZE95ZlZrdU53M0F0WFYxU0V1TGc1Q0NPellzUU5wYVdtNDlOSkxjZW1sM1E5a09ucjBLTjU4ODAzTW1qVUxaNTNWL2FDaDU1OS9Ib0dCZ1pnOWU3Wm4yS2JWcTFmRFlEQjRmdENxMVdvY08zWU1XcTBXdTNidDh1ejM2NisvUm5aMnY0bzQ4bTFVWWtpcjFTNXZhR2hZSllSUTlQd0EvN1JuUkJGSWtxU2FObTFhaGJ2czNyMTdkVUZCUVNsYXJmWi92djMyMnlrcEtTbHZWbFpXWHR2WjJka1FGaFoyVVhKeTh0TmxaV1hwU1VsSmJ4ODRjR0FlZ0lhZVZXVjhsNXNGWUJnSnMxcXRkdWNnbG82T2puM3VhWVZDRVJFVUZKUnJOcHMvRzhsNStzdEVTVUFCQUh2MjdJa1paSEdBMFdpMHV5Zkt5c291aUl5TXZLNnpzL05RUjBmSERxQzdTdHlkYklhRWhFelRhRFN6Nit2ckh3ZUE2T2pvLzA1S1N2TCsxU0tLaTR0REFTQTJOdmFYRm90bGMyeHM3SkxZMk5pbDVlWGwzeHY5c3h0L0pFbUtBckFFd0pLd3NEQ3p3V0I0VXdqeGxzbGsybEpUVTJNZHpYMlp6V2FzVzdjT1Zxc1Y3Nzc3cm1mK0QzN3dnMzVsSDNyb0llVGs1RUNoVUhqNmJ3RytoMVk1V2V2WHI4ZmYvLzUzejdRa1NmamlpeThBQUsrLy9qcG16cHlKTjk5OEU2Kzg4Z3FlZnZycFVkLy82VUtTSkMyQXBiSXNMelVZREEwQTFnSjRyNnVyNjR2UzB0S3UwZHlYUDJORnFWUmkvZnIxK1BEREQzSDIyV2RqNzk2OU1Kdk5tRGR2SGdvTEMvSHBwNTlpOGVMRmlJaUl3UHIxNi9IVG4vN1VzeTVqcFRkL1hrOUdJaVFrQkZkZGRaV25UNmJMNVVKOGZEeFdyRmdCcDlPSnQ5OStHNXMyYllMRllzRTExMXpqR1hBZUFNNDc3enhzM0xnUml4WXRnbGFyeFlJRkMvREZGMS9nZTkvNzdpdGk0Y0tGdVBiYWEzdnQwK1Z5SVNZbUJvODk5cGgvVHZJTWNUSXhGQklTY21GSVNNaTVCdzRjdUNncksydHJVMVBUUDVWS1pVcFJVVkVRQUxtZ29LQjE3OTY5T2dBb0tDaXdBSUFzeTlFMU5UWDNkM1IwVkRVME5EeXAwV2d1VUNnVXUxTlNVbDRvS1NrcEFGRFgxTlMwT2lRa0pNOWRTUlViRy91YjJOallYL1VrdE9VVkZSVlhaMlptZmlGSlVxOTh6ZDFFMzlMUzhwNWFyYzRCZ0tDZ29Oek96czdTbUppWVJRRGdkRHBiQVNqMWVuMGRBQ2dVaWpDbjA5bm1jRGdhUzB0TDAwYnZmL2JFVEtnRWRLVHNkbnQ5UmtiRytvcUtpa3N0RnN0ZTkzeTFXcTFOU1VsNXY3YTI5cS91ZVUxTlRmL1gxTlQwZjBCM3Y3bTB0TFRYM01zMEdzM001T1RrWjhQQ3duNndmLy8raThaalZiZ2ZoRW1TOUROSmtuNFdGeGZYSGhjWDk0N0w1WHF6bzZQajB3TUhEclNkN01hZmV1b3B6Sm8xQ3c4OTlOMm9QOU9uVDhmR2pSc1JIZDIvdStNNzc3eUR4eDkvSEwvODVTOWhNQml3Y09IQ2ZtWDZOb0Z0Mzc0ZFFQZkYzMTJyNGMzWHZIbno1bm5HQkt5b3FNQzk5OTdyV2JadjN6NDg5TkJEK09xcnIvRDg4ODhQMkd3NzBVaVNOQW5BSFFEdVVLbFVyUWFENFEwQS81WmxlZXV1WGJ0T090SHdaNndBM1UyMHExZXZ4dVdYWDQ1dDI3WjVhcTBNQmdPT0hUdUdsMTU2Q2IvNXpXOFlLeU16cHRlVHdkeDc3NzBJQ3VyZHJYL1pzbVZZdG14WnY3SkNDRFEyTm1McDBxWEl6TXpzdHp3M054ZTV1Ym00ODg0Nzhmbm5ueU0wTkJUUFBQTk1yKzRndDk1NksyNjk5ZGJSUHhFYVVRekZ4Y1g5VWFsVTZuSnpjNzkxdVZ5V3hzYkc1NU9Ta2xiMkxJNngyKzM5eGlXMVdxMkYyZG5adStMajQzdU5uZXgwT2h0emNuSSs2VnRlcFZKbEZ4VVZCWmhNcGhVR2c2SFRuZEFXRnhlSEFMMzdmdllrdnQ0a2c4SFF1Vy9mdm1rQUVCNGVmazFxYXVvYWs4bTA0dGl4WTM4QXVoUGozYnQzYTlFOWh2Y3BONkVTMEx5OFBKL2pIQTdFWXJGc3JxbXArWU5Db2NnQzRFbEFRME5ENTV0TXBoWE56YzB2K2xwdjBxUkpDNDhmUC82R2U3cSt2djV2Q1FrSkR4Y1hGMmNDcUIzcGNSdU5SZ2NBbHhEQ0pVbVMwK3ZWS1VtU2E0QlhwNC95L2RaRGQ3ODdUM2wwTjMyNkpFbHl1dDhEOEN3YnFKeDcyNjd1NThkZE1NUXBhUURjSU12eURScU5wdE5nTUt3WFF2aHV3eHlHYmR1MjRhT1BQc0xycjc4KzdIV3V1dW9xVEpreUJROC8vREF1dSt5eVhnbUR1MW5WZTU0M1daYXhlZk5tejdTN0NkNTducThtK0EwYk51RHl5Ny9yT3JSbzBTSTg4Y1FUZVB2dHR4RVRNMWpsL1BEMHhJazRnWGdZVGp6MTJnNjgvdjRqWEwvWHF4QWljWWk3dThNbFNib0Z3QzFDQ0t2QllIaEhDUEdHRU9LRTdncjNkNndBUUdGaElSd09CNjY1NWhyVTFOUWdQajRlTDcvOGNxOHlXN1pzd2RxMWF4RWNIQXpBYjdFeTZEVUZnMXdMdk9mNWlLK2g0bStvdU95NzNLL1hrNkg4NkVjL0duWlpTWkx3ODUvL2ZNaHlDb1VDbDF4eXlja2MxcWp6Y1QxeFNaTGtIUU8rNHNkZHhuT044Q3JyMlk3M2Nud1haMzIzNS9LS3RiN2I4MW5HeDc3Y3J4Y09jYm9EeGRESHhjWEZMUUJRWGw3K1l3RHl0R25UaXF1cnEzOEZyejdySVNFaHVUMDFsR29BSGQ0YkZrTFkzRW5oVVByZWVCUVNFakxOWXJIVTQ3dm0rY0VvSlVsUzZ2WDZGZ0NvcnE2K283S3k4dWJJeU1nZkF0MFZaMDZuc3czakpQa0VKbGdDV2xKU0VqZklZazhUZkdobzZQazZuZTYxUHN0WDl1MERHaGNYNS9sVjQ5VVBORHdxS3Vxbmh3NGRtdUZlWmpLWi9pOHFLdXBuc2JHeE41aE1wdjhaNFdGTFFnaFpraVNGK3d0M3RGODlPeHJrQzkxN21hOXk3bmtqdlRHaTU5eWlBQXoydHhsVVhGd2NsaTlmanNtVFIzYnp0VjZ2eDcvKzlhOFJyZU4wT2srb3FkNWlzZUQ5OTkvSHE2Kys2cGszYjk0OHZQdnV1L2p3d3c5eDQ0MDNqbmliZlFraHBKNDRDUUJHUDA2R2lwdVQzYzR3eUpJa1JVdVNkTUozMmZzelZsd3VGeFFLQlM2Ly9ISmNmdm5sT0hic0dCWXZYdXg1a3MxQS9CUXJ3N3FtK0RMYWYvL1JqSlBSdUo1UXQ1Ny9TNm52OWNUNy9YRCtWaWNTV3llNnZkR09JVm1XdlhPazFvU0VoTCtiemVZTmJXMXRYM3F2RXhZVzluMUpraFJKU1VrcmpoNDkra25FN0RjQUFBNU9TVVJCVkF2dlpVVkZSVUVHZzhIUjBkRlI3R3Qvd2NIQnhzTENRdGxkMWoxUGtpUlZTa3JLMitYbDVYTnljbktPOWwzUG5heFdWVlg5dkttcDZXVUF3WGE3dmFha3BFU2JtNXQ3cUwyOS9mUE96czdLdUxpNHBRQUNnb09EWjFzc2xpK0cvUi9oQnhNcUFSMnV0cmEyTC92Y1dCU2FucDYrTGpBd01MNmpvNk8wdkx6OEp3QmFmYTJibUpoNGYydHI2N3RXcTdYR2E3YXpvcUxpeHFsVHAzN1QyZG41cmRscy9tQUVoeU9LaW9wa2RBL3ZJT2ZtNWlyYTI5dmxzTEF3aGRWcVZZU0VoTWlkblowS3RWb3RkM1YxS1FJQ0FoUk9wMU4ydnlvVUNvWFQ2VlFFQkFUSXNpd3JYQzZYN0hRNkZlNzNzaXdyaEJDeTk3UWtTUW9oaE94eXVSU3lMTHRmdlpmTFFnaFB1WjczY3MrMFFwS2txd0FNOW5PK0E4QldsOHYxcmN2bFdyOW56NTdOQUdBMEdwOFl3ZitMUjFwYUdtSmlZanczYVhqejFhOXY1ODZkbnZmUFBQTU1mdktUbnlBNk9ycFhqUk9BWHRNZmYvd3hnTzQ3VnJ1NnV2cVY3VnUrcjJlZmZSWVhYM3d4SmsyYTVKbW5VQ2p3MTcvK0ZUZmRkQk9tVEptQzg4OC9mNUN6SEZwUlVaRUNQdUxFWnJQSmFyVmFZYmZiWmFWU3FiRGI3WEpnWUtEQ2JyY3JBZ01EWllmRDRYa05DQWp3dkRxZFRvVkNvZkRFaXp0cDhYN3RpUXZ2T1BINTZsMit6M2FXQWtnYTZKeUVFQllBbXlWSk9tUzMyOWVVbEpUc0FnQ2owZmpzUU9zTXhwK3hZclZhUFRXYVFIZXRabjE5UGE2ODhrb0VCSFJmZW0wMkcyUlp4dnZ2dis4cDU2ZFk2WFZOYVcxdFZVUkZSY2xXcTFYaEhTdUJnWUVLaDhNaE94d09oVUtoVUxoY0xsbWhVSGppeEQzUCsvcmcvZmNlS0U2OGwvZTlqZ2doZXBXVEpPbHErUEY2UXQyOFkyVDY5T2x5YTJ1cmJMVmFGWkdSa2JMTlpwUDdmdmNvbFVyWjZYVEtnWUdCc3QxdVY3aGNMamtnSUVCMngwelA5NUxudXVKeXVUelhpSjRZR1hEYTVYSzU0MGp1RTFlOXBnZTRSc2xDaVBtU0pGMDB5T2wyQU5nSzRGdW4wK21KSVcraG9hRVh4TWJHM2w1VFUzTjNZbUxpdzJhemVVdlBvcERvNk9nYnlzcktMczNJeVBpb3BhVmxYdDkxQVdELy92MHpmTTN2VytzWkh4Ly94NGlJaUd1RkVGMmxwYVZUMFgzM2ZsQlAyUUdiNEZVcTFTUzczZDRBQUxJc0IzZDJkcllEZ05WcUxRb1BENzhxSmlibUYvWDE5WDhiNVAvQTd5WlVBanJTSm5nQUNBb0tTazFKU1ZsYlcxdjdwOURRMEVzYUd4dWZ6Y25KK2VydzRjT0wzRGNudVdrMG10bVJrWkhYbHBTVTlLdHU3K3JxK3ZiSWtTUC9uWnFhK3ZxUkkwZXVPMzc4K1B0OXl3eEJBSENXbHBhTys0RnBEUVpEc2lSSnZiNHdoQkR0a2lSdGRybGNiOW50OXJkS1MwdEh0UmtnUER5OFY3SUFETjZ2RHdEcTYrdng0b3N2ZW9aQWFXNXU3bldYcVp0M3NtSTJtNUdWbFlVMWE5WjQ1cm1iNE4ySmgzdmZidDk4OHcwMmJkcUVOOTd3OU1yd21ESmxDdjd5bDcvZzk3Ly9QUjU2NkNGY2VPRlFMVVZET20zaUJBQ01SdU5ONkpPQUNpR09TNUwwc2RQcGZLdTF0Zlc5eXNyS0VZKy9PeGgveFVwall5T2lvcnBIZTdOYXJWaTNiaDErK01NZklpb3FDa3VXTEFFQTNIUFBQY2pQei9lc2N5cGpwYnE2M3dBZjQ0TEJZRWp4OS9Wa3VKek9nVDlta2lUQjRYQmc1ODZkbURWcmxzOHl2LzN0YjdGaVJlOGhxVXRMUytGME9udkZoZHVTSlV2d3pEUFBuTnhCajR3QTROeTFhNWZuUkd0cWFnWXBQajRaREFZdGdGNEo2RWhqU0tQUlhPSndPSTZIaFlYTmJXOXYzMjJ6MmNvQlFLZlRQZFhTMHZLT3pXWTdXRlZWdFVTbjA2MkdqeWZGWldkbi84ZlhkaVZKVW5wUDE5Yld2bEJiVy91Z3dXRG93QWlHakZLcFZCbWRuWjM3QUVDaFVJUUFhQU9BNXVibWw5TFMwamJZYkxaeTl3Tkl4b3NKbFlBT3R3bmVMVG82K3IvajR1TCtXRlZWdGNoZDVkN1MwdksydytGb1RVOVBmODlzTnE4M21VeC82ZWpvcUZLcFZGbHBhV2xycTZxcWJzRUFZeXkydExTOFhWVlY5U3VkVHZkbVlHRGdIMDZnT2Y1MFl3YndpUkRpallhR2huZXJxNnM3aGx6RGo3WnYzNDdjM053Qmt3NWYzTU9oRE5lUkkwZHczMzMzWWRteVpRZ1BEL2RaNXBKTExzSGRkOStOdSsrK0c3ZmZmdnVvTkxHZWJvUVFEWklrYlFMd21pekxIKzNhdGNzKzVFcCtkQ0t4Y3ZEZ1FhU2xkZDlvdW1yVktseDQ0WVc0Kys2N2Njc3R0eUFwS1FrSER4NkV5K1hDOWRkZkQ0Q3hNZ3luL0hveWMrWk1KQ1Vsb2JXMUZZc1dMY0lISHd6Y21EVmp4Z3pjZlBQTldMTm1EVjUvL1hYODZVOS82dGQvZDh1V0xmM1dDd2dJd0wzMzNvdTVjK2ZpMWx0dnhRc3Z2SURGaXhjREFIYnMyTkd2UEkzSUNjZFFYVjNkWCt2cTZ2N1NkNzRzeThHVmxaVzNBNERaYlA2b29xSmlYa1pHeHJiaGJ0ZHV0eC9MenM3K2oxY05hYS83UkpLVGs1K1Bqbzd1OTBGMzE1emE3ZmE2dlh2MzZpSWlJcTR3bTgyZkFGRDBKTFdkQU9CME9qc2tTUXF5Mld3VkdHQ2cvRk5sUWlXZ3c2VlNxVEoxT3QxekxwZkxjZmp3NFl2Nk5LZkRZckZzTGlrcHlkZnBkSTlsWjJjZmFtMXRmYWVscGVWRGs4bjBTRXRMeTdzQWdnRjBoWVNFWkFzaHVnQjRocEZwYm01K3llRncxTGxjcmxHdDFSbG50cnRjcnF2dGR2dUcwUjVDWnpSdDJyUnB4QjMvaTR1TEIzemtuaThsSlNXNDZhYWJjUEhGRjZPenN4T0JnWUdvckt4RVlHQ2dweGtXQUs2ODhrcEVSMGQ3eGhTY1FOWTVISTY3OSt6WnN4WGorTEZ6SnhJclc3ZHV4ZGxubisyNThlbTExMTVEWUdBZzdycnJMdHh5eXkySWlJakFhNis5NXVtZnhsZ1owTGk1bm9TR2h1TGYvLzQzN3I3N2J1VG41MlBod29VK1IwV0lpSWpBYjMvN1d3REFrMDgraVpkZTZuNTQyRkJkZHdJQ0F2RGhoeC9peFJkZjlJd3QrOXh6ejNrU1VLQzdObjMzN3Qwb0xDekVqVGZlaUxDd3NGRTl4elBVYU1TUVVxMVdHMEpEUTg4TENRbTV3R0t4ZkF3QUZSVVZQL1l1MU43ZXZ0dlh5Z00xd1FPRFAyV3hxcXBxY1ZWVjFlS2VjajZiNElPRGc0M2g0ZUZYVlZWVjNhMVNxZElkRGtjajBQMFVwTlRVMURlT0hqMzZpNWlZbUNWWldWbmJqaDQ5K25PcjFWbzAzSk1lU3hNcUFSMXVFN3drU1k3R3hzYVgzTU1xRGNCVVdWbDVRME5Edzk4bFNZcXlXQ3llVWNqajR1SitsNUNRc0Z3STRXeG9hSGdVZlo3d1lqYWJQenl4TXpnOUZCVVZ2ZVhQL2ExZXZicmZYY1ZBOXdETzgrZlA5N25PdSsrK2k1MDdkK0tlZTNxUHorN3JDNkw3eG43QTRYRGdndzgrd0pOUFB1bHptMElJT0oxT0hEOStITElzUTVJa3o3QTZBUERQZi80VHExYXRnaXpMV0xod1liOGJ0Z1pxcGp1VEZSWVcvc09mKy9OWHJGUlhWMlA3OXUxWXRHZ1JicnZ0Tml4ZnZoemZmUE1OUHY3NFkxUlVWT0NCQng3QTBhTkhjZjMxMStPc3M4N0NlZWVkaCs5OTczdFFLcnRiNHhncjMvSDM5V1FvSFIwZHFLeXM5RFNSMTlmWDkrcCtBM3dYRzU5Ly9qbnk4dkp3ODgzZEQ2YnAyM1ZqK3ZUcHZkYWRPWE1tMXE5Zmo3bHo1K0lYdi9qdVhwYU5HemVpcUtnN1oxaXdZQUVLQ2dydzJXZWY5WHJPUEExc05HSW9JeU5qdlZLcFRHbHJhL3VzdGJYMW5hYW1wazFhcmZaUnJ5SkJBTUpWS2xXSXIvVnpjbkwyK3BvUDlHdUdWd0lJN2htSllqakMwdExTUHFpdHJmMVRWRlRVTlNrcEtjODFOamIrNytUSmsrK05pNHU3OStqUm83YzBOemV2YTJ4cy9KZE9wM3M2T3p0N1YyTmo0NnFxcXFvbHc5dytuU1JGVmxiV2xwTXRrNUNRTU53T3ZBSG9mcGIyaEVyd1Q5WllQYnZaRjRmRElYYnMyTkZyM3FPUFB1cXo3TXFWSzRVUVF1emV2VnZjZHR0dC9aWTduVTR4YTlZczRYQTR4TmxubnkybVQ1OHVmdjNyWC92Y1ozdDd1M0E0SEtOd0J0K1ppTTl1SHUreDB0N2VMajc5OUZNaGhCQjFkWFhDWkRLSlAvLzV6MkxyMXEzQzZYUjZ5cmUzdDR2MzNudFBQUGZjYy8zMnlWZzVPV01SSTVkY2NvbjQ0SU1QeEdPUFBlYVpOM1BtVEhIRERUZjAramQ3OW13aGhCQlBQLzIwdVB6eXkwVmhZYUhuLzcvdjM4UGJqQmt6eEpJbFM4VGl4WXRGZVhtNW1EdDNyakFhamVLQkJ4NFFHelpzNkZYKzBrc3ZGUmFMWlZUUHozMU1FeVZHUnFqdnVKdTlhaTVWS2xWR2JtNXVlVzV1YnBsV3EzM0l1NXhXcTEzUmQxMXYzcmxGWW1MaXd3YUR3YUhUNmZwVmdFMmVQUGsrNzFlMzBOQlE5eTlTQ1lDcVo5NEZ3Y0hCL1o1aUZ4SVNjcUhYazVPSUNQQnZVbkdpMnRyYUJsM3VjcmxFVjFlWG40Nm0yMFQ4d2pnZFltVThta2l4TWxZSjZPSERoOFUxMTF6aitYSHd5U2VmOUN2blBlLzk5OThYenovL3ZPZi92Ky9mdzl1TUdUT0UwK2tVLy9qSFAwUkpTWW13V0N4aXhvd1pQc3ZQbWpWTDJPMzJreitwUGlaU2pOQ3B4Um82b2hGd1A1OTVJSklramNralBZbG9mTkRwZEVoTFM4T1hYMzZKRjE1NEFYYTdIYXRYcis1WDdwVlhYc0hMTDcvY3F4c09BTXlaTTJmUWFWbVc4YnZmL1c3QS9Uc2NEcGpOWmtpUzFLdHZNTkhwWm1TamhoTVJFVTF3ZVhsNU9IandJQm9hR3JCbXpSck1tREVEYTlldXhSMTMzSUhNekV5c1hic1c5ZlhkVDJZc0xTM0YwMDgvN1ZuM3d3OC85UHp6TlEwQUsxZXVIUENCQlMrLy9ESysvLzN2OTB0Y2lVNDNURUNKaUloR29LV2x4VlA3S01zeVFrTkQwZExTZ2tjZWVRUlhYSEZGcjdKZmZ2a2xHaHFHOHlURjcyelpzZ1ZxdGRybnNsdHV1UVU3ZCs3RURUZmNnTC84cGQrb1FFU25EU2FnUkVSRXd5Q0V3SC85MTM5aDA2Wk5uanZkSDNua0VYeisrZWVZTTJjT2dvT0Q4Zmpqai9kYTUrdXZ2OFpGRnczMkVKN2VxcXVyVVZOVGczUFBQWGZRY3JXMXRUaDQ4T0RJVDRKb25HQUhFaUlpb21HUUpLbmY0UFB1L3ByejU4L0hxNisrMm10WlEwTUREaDQ4aUhQT09XZlkrOWk0Y1NNTUJvT252N2xhcmZZOEFNTjdDS2V2di80YTJkblpKM29xUktmY3VCb1ZueVkyM25sNWNnb0xDeWZNNTVteGNuSW1RcXd3Ums3T1JJZ1JPclhZQkUvamhoQ0N6NWs3Y1FNT2Nud21ZcXljbEFrUks0eVJrekloWW9T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dpYytuOFk2b2NoYm01T1Z3QUFBQUJKUlU1RXJrSmdnZz09IiwKCSJUaGVtZSIgOiAiIiwKCSJUeXBlIiA6ICJmbG93IiwKCSJWZXJzaW9uIiA6ICI3Igp9Cg=="/>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7E93452-DC50-4696-8634-DD69E826731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64</Pages>
  <Words>3677</Words>
  <Characters>20959</Characters>
  <Lines>174</Lines>
  <Paragraphs>49</Paragraphs>
  <TotalTime>1</TotalTime>
  <ScaleCrop>false</ScaleCrop>
  <LinksUpToDate>false</LinksUpToDate>
  <CharactersWithSpaces>24587</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2021-06-08T05:52:00Z</dcterms:created>
  <dc:creator>2017</dc:creator>
  <cp:lastModifiedBy>一片浮云、不定</cp:lastModifiedBy>
  <cp:lastPrinted>2021-10-29T01:08:00Z</cp:lastPrinted>
  <dcterms:modified xsi:type="dcterms:W3CDTF">2021-11-18T09:53:17Z</dcterms:modified>
  <cp:revision>50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8C8526CC02864F42BCC33AB19C324A92</vt:lpwstr>
  </property>
</Properties>
</file>