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cs="Times New Roman"/>
          <w:color w:val="auto"/>
        </w:rPr>
      </w:pPr>
    </w:p>
    <w:p>
      <w:pPr>
        <w:pStyle w:val="2"/>
        <w:ind w:left="480" w:firstLine="480"/>
        <w:rPr>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0" w:firstLineChars="0"/>
        <w:jc w:val="center"/>
        <w:rPr>
          <w:rFonts w:cs="Times New Roman"/>
          <w:b/>
          <w:bCs/>
          <w:color w:val="auto"/>
          <w:sz w:val="52"/>
          <w:szCs w:val="52"/>
        </w:rPr>
      </w:pPr>
      <w:r>
        <w:rPr>
          <w:rFonts w:hint="eastAsia" w:cs="Times New Roman"/>
          <w:b/>
          <w:bCs/>
          <w:color w:val="auto"/>
          <w:sz w:val="52"/>
          <w:szCs w:val="52"/>
        </w:rPr>
        <w:t>桐乡市鸿尔纺织有限公司</w:t>
      </w:r>
    </w:p>
    <w:p>
      <w:pPr>
        <w:ind w:firstLine="0" w:firstLineChars="0"/>
        <w:jc w:val="center"/>
        <w:rPr>
          <w:rFonts w:cs="Times New Roman"/>
          <w:b/>
          <w:bCs/>
          <w:color w:val="auto"/>
          <w:sz w:val="48"/>
          <w:szCs w:val="48"/>
        </w:rPr>
      </w:pPr>
      <w:r>
        <w:rPr>
          <w:rFonts w:hint="eastAsia" w:cs="Times New Roman"/>
          <w:b/>
          <w:bCs/>
          <w:color w:val="auto"/>
          <w:sz w:val="48"/>
          <w:szCs w:val="48"/>
        </w:rPr>
        <w:t>年产600吨高档粗纺羊绒纱项目</w:t>
      </w:r>
    </w:p>
    <w:p>
      <w:pPr>
        <w:pStyle w:val="2"/>
        <w:ind w:left="480" w:firstLine="480"/>
        <w:rPr>
          <w:color w:val="auto"/>
        </w:rPr>
      </w:pPr>
    </w:p>
    <w:p>
      <w:pPr>
        <w:spacing w:before="312" w:beforeLines="100"/>
        <w:ind w:firstLine="0" w:firstLineChars="0"/>
        <w:jc w:val="center"/>
        <w:rPr>
          <w:rFonts w:cs="Times New Roman"/>
          <w:b/>
          <w:bCs/>
          <w:color w:val="auto"/>
          <w:sz w:val="52"/>
          <w:szCs w:val="52"/>
        </w:rPr>
      </w:pPr>
      <w:r>
        <w:rPr>
          <w:rFonts w:cs="Times New Roman"/>
          <w:b/>
          <w:bCs/>
          <w:color w:val="auto"/>
          <w:sz w:val="52"/>
          <w:szCs w:val="52"/>
        </w:rPr>
        <w:t>竣工环境保护验收报告</w:t>
      </w: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pStyle w:val="2"/>
        <w:ind w:left="480" w:firstLine="480"/>
        <w:rPr>
          <w:color w:val="auto"/>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28"/>
          <w:szCs w:val="28"/>
        </w:rPr>
      </w:pPr>
    </w:p>
    <w:p>
      <w:pPr>
        <w:ind w:firstLine="0" w:firstLineChars="0"/>
        <w:jc w:val="center"/>
        <w:rPr>
          <w:rFonts w:cs="Times New Roman"/>
          <w:b/>
          <w:bCs/>
          <w:color w:val="auto"/>
          <w:sz w:val="36"/>
          <w:szCs w:val="36"/>
        </w:rPr>
      </w:pPr>
      <w:r>
        <w:rPr>
          <w:rFonts w:hint="eastAsia" w:cs="Times New Roman"/>
          <w:b/>
          <w:bCs/>
          <w:color w:val="auto"/>
          <w:sz w:val="36"/>
          <w:szCs w:val="36"/>
        </w:rPr>
        <w:t>建设</w:t>
      </w:r>
      <w:r>
        <w:rPr>
          <w:rFonts w:cs="Times New Roman"/>
          <w:b/>
          <w:bCs/>
          <w:color w:val="auto"/>
          <w:sz w:val="36"/>
          <w:szCs w:val="36"/>
        </w:rPr>
        <w:t>单位：</w:t>
      </w:r>
      <w:r>
        <w:rPr>
          <w:rFonts w:hint="eastAsia" w:cs="Times New Roman"/>
          <w:b/>
          <w:bCs/>
          <w:color w:val="auto"/>
          <w:sz w:val="36"/>
          <w:szCs w:val="36"/>
        </w:rPr>
        <w:t>桐乡市鸿尔纺织有限公司</w:t>
      </w:r>
    </w:p>
    <w:p>
      <w:pPr>
        <w:ind w:firstLine="0" w:firstLineChars="0"/>
        <w:jc w:val="center"/>
        <w:rPr>
          <w:rFonts w:cs="Times New Roman"/>
          <w:b/>
          <w:bCs/>
          <w:color w:val="auto"/>
          <w:sz w:val="36"/>
          <w:szCs w:val="36"/>
        </w:rPr>
      </w:pPr>
      <w:r>
        <w:rPr>
          <w:rFonts w:hint="eastAsia" w:cs="Times New Roman"/>
          <w:b/>
          <w:bCs/>
          <w:color w:val="auto"/>
          <w:sz w:val="36"/>
          <w:szCs w:val="36"/>
        </w:rPr>
        <w:t>编制单位：桐乡市鸿尔纺织有限公司</w:t>
      </w:r>
    </w:p>
    <w:p>
      <w:pPr>
        <w:ind w:firstLine="0" w:firstLineChars="0"/>
        <w:jc w:val="center"/>
        <w:rPr>
          <w:rFonts w:cs="Times New Roman"/>
          <w:b/>
          <w:bCs/>
          <w:color w:val="auto"/>
          <w:sz w:val="36"/>
          <w:szCs w:val="36"/>
        </w:rPr>
      </w:pPr>
      <w:r>
        <w:rPr>
          <w:rFonts w:hint="eastAsia" w:cs="Times New Roman"/>
          <w:b/>
          <w:bCs/>
          <w:color w:val="auto"/>
          <w:sz w:val="36"/>
          <w:szCs w:val="36"/>
        </w:rPr>
        <w:t>二〇二二</w:t>
      </w:r>
      <w:r>
        <w:rPr>
          <w:rFonts w:cs="Times New Roman"/>
          <w:b/>
          <w:bCs/>
          <w:color w:val="auto"/>
          <w:sz w:val="36"/>
          <w:szCs w:val="36"/>
        </w:rPr>
        <w:t>年</w:t>
      </w:r>
      <w:r>
        <w:rPr>
          <w:rFonts w:hint="eastAsia" w:cs="Times New Roman"/>
          <w:b/>
          <w:bCs/>
          <w:color w:val="auto"/>
          <w:sz w:val="36"/>
          <w:szCs w:val="36"/>
          <w:lang w:val="en-US" w:eastAsia="zh-CN"/>
        </w:rPr>
        <w:t>五</w:t>
      </w:r>
      <w:r>
        <w:rPr>
          <w:rFonts w:cs="Times New Roman"/>
          <w:b/>
          <w:bCs/>
          <w:color w:val="auto"/>
          <w:sz w:val="36"/>
          <w:szCs w:val="36"/>
        </w:rPr>
        <w:t>月</w:t>
      </w:r>
    </w:p>
    <w:p>
      <w:pPr>
        <w:ind w:firstLine="643"/>
        <w:jc w:val="center"/>
        <w:rPr>
          <w:rFonts w:cs="Times New Roman"/>
          <w:b/>
          <w:bCs/>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247" w:bottom="1418" w:left="1247" w:header="851" w:footer="992" w:gutter="0"/>
          <w:pgNumType w:fmt="numberInDash" w:start="1"/>
          <w:cols w:space="425" w:num="1"/>
          <w:titlePg/>
          <w:docGrid w:type="lines" w:linePitch="312" w:charSpace="0"/>
        </w:sectPr>
      </w:pPr>
    </w:p>
    <w:p>
      <w:pPr>
        <w:ind w:firstLine="0" w:firstLineChars="0"/>
        <w:rPr>
          <w:rFonts w:cs="Times New Roman"/>
          <w:b/>
          <w:bCs/>
          <w:color w:val="auto"/>
          <w:sz w:val="48"/>
          <w:szCs w:val="48"/>
        </w:rPr>
      </w:pPr>
      <w:r>
        <w:rPr>
          <w:rFonts w:hint="eastAsia" w:cs="Times New Roman"/>
          <w:b/>
          <w:bCs/>
          <w:color w:val="auto"/>
          <w:sz w:val="48"/>
          <w:szCs w:val="48"/>
        </w:rPr>
        <w:t>一、验收报告</w:t>
      </w:r>
    </w:p>
    <w:p>
      <w:pPr>
        <w:pStyle w:val="2"/>
        <w:ind w:left="0" w:leftChars="0" w:firstLine="0" w:firstLineChars="0"/>
        <w:rPr>
          <w:b/>
          <w:bCs/>
          <w:color w:val="auto"/>
          <w:sz w:val="48"/>
          <w:szCs w:val="48"/>
        </w:rPr>
      </w:pPr>
    </w:p>
    <w:p>
      <w:pPr>
        <w:pStyle w:val="2"/>
        <w:ind w:left="0" w:leftChars="0" w:firstLine="0" w:firstLineChars="0"/>
        <w:rPr>
          <w:b/>
          <w:bCs/>
          <w:color w:val="auto"/>
          <w:sz w:val="48"/>
          <w:szCs w:val="48"/>
        </w:rPr>
      </w:pPr>
      <w:r>
        <w:rPr>
          <w:rFonts w:hint="eastAsia"/>
          <w:b/>
          <w:bCs/>
          <w:color w:val="auto"/>
          <w:sz w:val="48"/>
          <w:szCs w:val="48"/>
        </w:rPr>
        <w:t>二、验收意见</w:t>
      </w:r>
    </w:p>
    <w:p>
      <w:pPr>
        <w:pStyle w:val="2"/>
        <w:ind w:left="0" w:leftChars="0" w:firstLine="0" w:firstLineChars="0"/>
        <w:rPr>
          <w:b/>
          <w:bCs/>
          <w:color w:val="auto"/>
          <w:sz w:val="48"/>
          <w:szCs w:val="48"/>
        </w:rPr>
      </w:pPr>
    </w:p>
    <w:p>
      <w:pPr>
        <w:ind w:firstLine="0" w:firstLineChars="0"/>
        <w:rPr>
          <w:rFonts w:cs="Times New Roman"/>
          <w:b/>
          <w:bCs/>
          <w:color w:val="auto"/>
          <w:sz w:val="32"/>
          <w:szCs w:val="32"/>
        </w:rPr>
      </w:pPr>
      <w:r>
        <w:rPr>
          <w:rFonts w:hint="eastAsia"/>
          <w:b/>
          <w:bCs/>
          <w:color w:val="auto"/>
          <w:sz w:val="48"/>
          <w:szCs w:val="48"/>
        </w:rPr>
        <w:t>三、其他情况说明</w:t>
      </w:r>
    </w:p>
    <w:p>
      <w:pPr>
        <w:spacing w:line="480" w:lineRule="auto"/>
        <w:ind w:firstLine="480"/>
        <w:rPr>
          <w:rFonts w:cs="Times New Roman"/>
          <w:color w:val="auto"/>
        </w:rPr>
        <w:sectPr>
          <w:pgSz w:w="11906" w:h="16838"/>
          <w:pgMar w:top="1418" w:right="1247" w:bottom="1418" w:left="1247" w:header="851" w:footer="992" w:gutter="0"/>
          <w:pgNumType w:fmt="numberInDash" w:start="1"/>
          <w:cols w:space="425" w:num="1"/>
          <w:titlePg/>
          <w:docGrid w:type="lines" w:linePitch="312" w:charSpace="0"/>
        </w:sect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0" w:firstLineChars="0"/>
        <w:jc w:val="center"/>
        <w:rPr>
          <w:rFonts w:cs="Times New Roman"/>
          <w:b/>
          <w:bCs/>
          <w:color w:val="auto"/>
          <w:sz w:val="52"/>
          <w:szCs w:val="52"/>
        </w:rPr>
      </w:pPr>
      <w:r>
        <w:rPr>
          <w:rFonts w:hint="eastAsia" w:cs="Times New Roman"/>
          <w:b/>
          <w:bCs/>
          <w:color w:val="auto"/>
          <w:sz w:val="52"/>
          <w:szCs w:val="52"/>
        </w:rPr>
        <w:t>桐乡市鸿尔纺织有限公司</w:t>
      </w:r>
    </w:p>
    <w:p>
      <w:pPr>
        <w:ind w:firstLine="0" w:firstLineChars="0"/>
        <w:jc w:val="center"/>
        <w:rPr>
          <w:rFonts w:cs="Times New Roman"/>
          <w:b/>
          <w:bCs/>
          <w:color w:val="auto"/>
          <w:sz w:val="48"/>
          <w:szCs w:val="48"/>
        </w:rPr>
      </w:pPr>
      <w:bookmarkStart w:id="0" w:name="_Hlk68174032"/>
      <w:r>
        <w:rPr>
          <w:rFonts w:hint="eastAsia" w:cs="Times New Roman"/>
          <w:b/>
          <w:bCs/>
          <w:color w:val="auto"/>
          <w:sz w:val="48"/>
          <w:szCs w:val="48"/>
        </w:rPr>
        <w:t>年产600吨高档粗纺羊绒纱项目</w:t>
      </w:r>
    </w:p>
    <w:p>
      <w:pPr>
        <w:pStyle w:val="2"/>
        <w:ind w:left="480" w:firstLine="480"/>
        <w:rPr>
          <w:color w:val="auto"/>
        </w:rPr>
      </w:pPr>
    </w:p>
    <w:bookmarkEnd w:id="0"/>
    <w:p>
      <w:pPr>
        <w:spacing w:before="312" w:beforeLines="100"/>
        <w:ind w:firstLine="0" w:firstLineChars="0"/>
        <w:jc w:val="center"/>
        <w:rPr>
          <w:rFonts w:cs="Times New Roman"/>
          <w:b/>
          <w:bCs/>
          <w:color w:val="auto"/>
          <w:sz w:val="52"/>
          <w:szCs w:val="52"/>
        </w:rPr>
      </w:pPr>
      <w:r>
        <w:rPr>
          <w:rFonts w:cs="Times New Roman"/>
          <w:b/>
          <w:bCs/>
          <w:color w:val="auto"/>
          <w:sz w:val="52"/>
          <w:szCs w:val="52"/>
        </w:rPr>
        <w:t>竣工环境保护验收监测报告</w:t>
      </w: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pStyle w:val="2"/>
        <w:ind w:left="480" w:firstLine="480"/>
        <w:rPr>
          <w:color w:val="auto"/>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32"/>
          <w:szCs w:val="32"/>
        </w:rPr>
      </w:pPr>
    </w:p>
    <w:p>
      <w:pPr>
        <w:ind w:firstLine="0" w:firstLineChars="0"/>
        <w:jc w:val="center"/>
        <w:rPr>
          <w:rFonts w:cs="Times New Roman"/>
          <w:b/>
          <w:bCs/>
          <w:color w:val="auto"/>
          <w:sz w:val="28"/>
          <w:szCs w:val="28"/>
        </w:rPr>
      </w:pPr>
    </w:p>
    <w:p>
      <w:pPr>
        <w:ind w:firstLine="0" w:firstLineChars="0"/>
        <w:jc w:val="center"/>
        <w:rPr>
          <w:rFonts w:cs="Times New Roman"/>
          <w:b/>
          <w:bCs/>
          <w:color w:val="auto"/>
          <w:sz w:val="36"/>
          <w:szCs w:val="36"/>
        </w:rPr>
      </w:pPr>
      <w:r>
        <w:rPr>
          <w:rFonts w:hint="eastAsia" w:cs="Times New Roman"/>
          <w:b/>
          <w:bCs/>
          <w:color w:val="auto"/>
          <w:sz w:val="36"/>
          <w:szCs w:val="36"/>
        </w:rPr>
        <w:t>建设</w:t>
      </w:r>
      <w:r>
        <w:rPr>
          <w:rFonts w:cs="Times New Roman"/>
          <w:b/>
          <w:bCs/>
          <w:color w:val="auto"/>
          <w:sz w:val="36"/>
          <w:szCs w:val="36"/>
        </w:rPr>
        <w:t>单位：</w:t>
      </w:r>
      <w:r>
        <w:rPr>
          <w:rFonts w:hint="eastAsia" w:cs="Times New Roman"/>
          <w:b/>
          <w:bCs/>
          <w:color w:val="auto"/>
          <w:sz w:val="36"/>
          <w:szCs w:val="36"/>
        </w:rPr>
        <w:t>桐乡市鸿尔纺织有限公司</w:t>
      </w:r>
    </w:p>
    <w:p>
      <w:pPr>
        <w:ind w:firstLine="0" w:firstLineChars="0"/>
        <w:jc w:val="center"/>
        <w:rPr>
          <w:rFonts w:cs="Times New Roman"/>
          <w:b/>
          <w:bCs/>
          <w:color w:val="auto"/>
          <w:sz w:val="36"/>
          <w:szCs w:val="36"/>
        </w:rPr>
      </w:pPr>
      <w:r>
        <w:rPr>
          <w:rFonts w:hint="eastAsia" w:cs="Times New Roman"/>
          <w:b/>
          <w:bCs/>
          <w:color w:val="auto"/>
          <w:sz w:val="36"/>
          <w:szCs w:val="36"/>
        </w:rPr>
        <w:t>编制单位：桐乡市鸿尔纺织有限公司</w:t>
      </w:r>
    </w:p>
    <w:p>
      <w:pPr>
        <w:ind w:firstLine="0" w:firstLineChars="0"/>
        <w:jc w:val="center"/>
        <w:rPr>
          <w:rFonts w:cs="Times New Roman"/>
          <w:b/>
          <w:bCs/>
          <w:color w:val="auto"/>
          <w:sz w:val="36"/>
          <w:szCs w:val="36"/>
        </w:rPr>
      </w:pPr>
      <w:r>
        <w:rPr>
          <w:rFonts w:hint="eastAsia" w:cs="Times New Roman"/>
          <w:b/>
          <w:bCs/>
          <w:color w:val="auto"/>
          <w:sz w:val="36"/>
          <w:szCs w:val="36"/>
        </w:rPr>
        <w:t>二〇二二</w:t>
      </w:r>
      <w:r>
        <w:rPr>
          <w:rFonts w:cs="Times New Roman"/>
          <w:b/>
          <w:bCs/>
          <w:color w:val="auto"/>
          <w:sz w:val="36"/>
          <w:szCs w:val="36"/>
        </w:rPr>
        <w:t>年</w:t>
      </w:r>
      <w:r>
        <w:rPr>
          <w:rFonts w:hint="eastAsia" w:cs="Times New Roman"/>
          <w:b/>
          <w:bCs/>
          <w:color w:val="auto"/>
          <w:sz w:val="36"/>
          <w:szCs w:val="36"/>
          <w:lang w:val="en-US" w:eastAsia="zh-CN"/>
        </w:rPr>
        <w:t>五</w:t>
      </w:r>
      <w:r>
        <w:rPr>
          <w:rFonts w:cs="Times New Roman"/>
          <w:b/>
          <w:bCs/>
          <w:color w:val="auto"/>
          <w:sz w:val="36"/>
          <w:szCs w:val="36"/>
        </w:rPr>
        <w:t>月</w:t>
      </w:r>
    </w:p>
    <w:p>
      <w:pPr>
        <w:ind w:firstLine="643"/>
        <w:jc w:val="center"/>
        <w:rPr>
          <w:rFonts w:cs="Times New Roman"/>
          <w:b/>
          <w:bCs/>
          <w:color w:val="auto"/>
          <w:sz w:val="32"/>
          <w:szCs w:val="32"/>
        </w:rPr>
      </w:pPr>
    </w:p>
    <w:p>
      <w:pPr>
        <w:spacing w:line="480" w:lineRule="auto"/>
        <w:ind w:firstLine="480"/>
        <w:rPr>
          <w:rFonts w:cs="Times New Roman"/>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18" w:right="1247" w:bottom="1418" w:left="1247" w:header="851" w:footer="992" w:gutter="0"/>
          <w:pgNumType w:fmt="numberInDash" w:start="1"/>
          <w:cols w:space="425" w:num="1"/>
          <w:titlePg/>
          <w:docGrid w:type="lines" w:linePitch="312" w:charSpace="0"/>
        </w:sectPr>
      </w:pPr>
    </w:p>
    <w:p>
      <w:pPr>
        <w:ind w:firstLine="480"/>
        <w:rPr>
          <w:color w:val="auto"/>
        </w:rPr>
      </w:pPr>
      <w:r>
        <w:rPr>
          <w:color w:val="auto"/>
        </w:rPr>
        <w:t>建设单位：</w:t>
      </w:r>
      <w:r>
        <w:rPr>
          <w:color w:val="auto"/>
        </w:rPr>
        <w:fldChar w:fldCharType="begin"/>
      </w:r>
      <w:r>
        <w:rPr>
          <w:color w:val="auto"/>
        </w:rPr>
        <w:instrText xml:space="preserve"> DOCPROPERTY  项目名称  \* MERGEFORMAT </w:instrText>
      </w:r>
      <w:r>
        <w:rPr>
          <w:color w:val="auto"/>
        </w:rPr>
        <w:fldChar w:fldCharType="separate"/>
      </w:r>
      <w:r>
        <w:rPr>
          <w:rFonts w:hint="eastAsia"/>
          <w:color w:val="auto"/>
        </w:rPr>
        <w:t>桐乡市鸿尔纺织有限公司</w:t>
      </w:r>
      <w:r>
        <w:rPr>
          <w:color w:val="auto"/>
        </w:rPr>
        <w:fldChar w:fldCharType="end"/>
      </w:r>
    </w:p>
    <w:p>
      <w:pPr>
        <w:ind w:firstLine="480"/>
        <w:rPr>
          <w:bCs/>
          <w:color w:val="auto"/>
        </w:rPr>
      </w:pPr>
      <w:r>
        <w:rPr>
          <w:color w:val="auto"/>
        </w:rPr>
        <w:t>法人代表：</w:t>
      </w:r>
      <w:r>
        <w:rPr>
          <w:color w:val="auto"/>
        </w:rPr>
        <w:fldChar w:fldCharType="begin"/>
      </w:r>
      <w:r>
        <w:rPr>
          <w:color w:val="auto"/>
        </w:rPr>
        <w:instrText xml:space="preserve"> HYPERLINK "https://www.tianyancha.com/human/2257090531-c2348751131" \t "https://www.tianyancha.com/company/_blank" \o "陈红武" </w:instrText>
      </w:r>
      <w:r>
        <w:rPr>
          <w:color w:val="auto"/>
        </w:rPr>
        <w:fldChar w:fldCharType="separate"/>
      </w:r>
      <w:r>
        <w:rPr>
          <w:bCs/>
          <w:color w:val="auto"/>
        </w:rPr>
        <w:t>陈红武</w:t>
      </w:r>
      <w:r>
        <w:rPr>
          <w:bCs/>
          <w:color w:val="auto"/>
        </w:rPr>
        <w:fldChar w:fldCharType="end"/>
      </w:r>
    </w:p>
    <w:p>
      <w:pPr>
        <w:ind w:firstLine="640"/>
        <w:jc w:val="center"/>
        <w:rPr>
          <w:color w:val="auto"/>
          <w:sz w:val="32"/>
          <w:szCs w:val="32"/>
        </w:rPr>
      </w:pPr>
    </w:p>
    <w:p>
      <w:pPr>
        <w:ind w:firstLine="480"/>
        <w:rPr>
          <w:color w:val="auto"/>
        </w:rPr>
      </w:pPr>
      <w:r>
        <w:rPr>
          <w:rFonts w:hint="eastAsia"/>
          <w:color w:val="auto"/>
        </w:rPr>
        <w:t>编制</w:t>
      </w:r>
      <w:r>
        <w:rPr>
          <w:color w:val="auto"/>
        </w:rPr>
        <w:t>单位：</w:t>
      </w:r>
      <w:r>
        <w:rPr>
          <w:color w:val="auto"/>
        </w:rPr>
        <w:fldChar w:fldCharType="begin"/>
      </w:r>
      <w:r>
        <w:rPr>
          <w:color w:val="auto"/>
        </w:rPr>
        <w:instrText xml:space="preserve"> DOCPROPERTY  项目名称  \* MERGEFORMAT </w:instrText>
      </w:r>
      <w:r>
        <w:rPr>
          <w:color w:val="auto"/>
        </w:rPr>
        <w:fldChar w:fldCharType="separate"/>
      </w:r>
      <w:r>
        <w:rPr>
          <w:rFonts w:hint="eastAsia"/>
          <w:color w:val="auto"/>
        </w:rPr>
        <w:t>桐乡市鸿尔纺织有限公司</w:t>
      </w:r>
      <w:r>
        <w:rPr>
          <w:color w:val="auto"/>
        </w:rPr>
        <w:fldChar w:fldCharType="end"/>
      </w:r>
    </w:p>
    <w:p>
      <w:pPr>
        <w:ind w:firstLine="480"/>
        <w:rPr>
          <w:bCs/>
          <w:color w:val="auto"/>
        </w:rPr>
      </w:pPr>
      <w:r>
        <w:rPr>
          <w:color w:val="auto"/>
        </w:rPr>
        <w:t>法人代表：</w:t>
      </w:r>
      <w:r>
        <w:rPr>
          <w:color w:val="auto"/>
        </w:rPr>
        <w:fldChar w:fldCharType="begin"/>
      </w:r>
      <w:r>
        <w:rPr>
          <w:color w:val="auto"/>
        </w:rPr>
        <w:instrText xml:space="preserve"> HYPERLINK "https://www.tianyancha.com/human/2257090531-c2348751131" \t "https://www.tianyancha.com/company/_blank" \o "陈红武" </w:instrText>
      </w:r>
      <w:r>
        <w:rPr>
          <w:color w:val="auto"/>
        </w:rPr>
        <w:fldChar w:fldCharType="separate"/>
      </w:r>
      <w:r>
        <w:rPr>
          <w:bCs/>
          <w:color w:val="auto"/>
        </w:rPr>
        <w:t>陈红武</w:t>
      </w:r>
      <w:r>
        <w:rPr>
          <w:bCs/>
          <w:color w:val="auto"/>
        </w:rPr>
        <w:fldChar w:fldCharType="end"/>
      </w:r>
    </w:p>
    <w:p>
      <w:pPr>
        <w:ind w:firstLine="480"/>
        <w:rPr>
          <w:color w:val="auto"/>
          <w:sz w:val="32"/>
          <w:szCs w:val="32"/>
        </w:rPr>
      </w:pPr>
      <w:r>
        <w:rPr>
          <w:rFonts w:hint="eastAsia"/>
          <w:color w:val="auto"/>
        </w:rPr>
        <w:t>项目负责人：</w:t>
      </w:r>
      <w:r>
        <w:rPr>
          <w:color w:val="auto"/>
        </w:rPr>
        <w:fldChar w:fldCharType="begin"/>
      </w:r>
      <w:r>
        <w:rPr>
          <w:color w:val="auto"/>
        </w:rPr>
        <w:instrText xml:space="preserve"> HYPERLINK "https://www.tianyancha.com/human/2257090531-c2348751131" \t "https://www.tianyancha.com/company/_blank" \o "陈红武" </w:instrText>
      </w:r>
      <w:r>
        <w:rPr>
          <w:color w:val="auto"/>
        </w:rPr>
        <w:fldChar w:fldCharType="separate"/>
      </w:r>
      <w:r>
        <w:rPr>
          <w:bCs/>
          <w:color w:val="auto"/>
        </w:rPr>
        <w:t>陈红武</w:t>
      </w:r>
      <w:r>
        <w:rPr>
          <w:bCs/>
          <w:color w:val="auto"/>
        </w:rPr>
        <w:fldChar w:fldCharType="end"/>
      </w:r>
    </w:p>
    <w:p>
      <w:pPr>
        <w:ind w:firstLine="640"/>
        <w:jc w:val="center"/>
        <w:rPr>
          <w:color w:val="auto"/>
          <w:sz w:val="32"/>
          <w:szCs w:val="32"/>
        </w:rPr>
      </w:pPr>
    </w:p>
    <w:p>
      <w:pPr>
        <w:spacing w:line="480" w:lineRule="auto"/>
        <w:ind w:firstLine="480"/>
        <w:rPr>
          <w:color w:val="auto"/>
        </w:rPr>
      </w:pPr>
    </w:p>
    <w:p>
      <w:pPr>
        <w:spacing w:line="480" w:lineRule="auto"/>
        <w:ind w:firstLine="480"/>
        <w:rPr>
          <w:color w:val="auto"/>
        </w:rPr>
      </w:pPr>
    </w:p>
    <w:p>
      <w:pPr>
        <w:spacing w:line="480" w:lineRule="auto"/>
        <w:ind w:firstLine="480"/>
        <w:rPr>
          <w:color w:val="auto"/>
        </w:rPr>
      </w:pPr>
    </w:p>
    <w:p>
      <w:pPr>
        <w:spacing w:line="480" w:lineRule="auto"/>
        <w:ind w:firstLine="480"/>
        <w:rPr>
          <w:color w:val="auto"/>
        </w:rPr>
      </w:pPr>
    </w:p>
    <w:p>
      <w:pPr>
        <w:spacing w:line="480" w:lineRule="auto"/>
        <w:ind w:firstLine="480"/>
        <w:rPr>
          <w:color w:val="auto"/>
        </w:rPr>
      </w:pPr>
    </w:p>
    <w:p>
      <w:pPr>
        <w:pStyle w:val="2"/>
        <w:ind w:left="480" w:firstLine="480"/>
        <w:rPr>
          <w:color w:val="auto"/>
        </w:rPr>
      </w:pPr>
    </w:p>
    <w:p>
      <w:pPr>
        <w:pStyle w:val="2"/>
        <w:ind w:left="480" w:firstLine="480"/>
        <w:rPr>
          <w:color w:val="auto"/>
        </w:rPr>
      </w:pPr>
    </w:p>
    <w:p>
      <w:pPr>
        <w:pStyle w:val="2"/>
        <w:ind w:left="480" w:firstLine="480"/>
        <w:rPr>
          <w:color w:val="auto"/>
        </w:rPr>
      </w:pPr>
    </w:p>
    <w:p>
      <w:pPr>
        <w:pStyle w:val="2"/>
        <w:ind w:left="480" w:firstLine="480"/>
        <w:rPr>
          <w:color w:val="auto"/>
        </w:rPr>
      </w:pPr>
    </w:p>
    <w:p>
      <w:pPr>
        <w:spacing w:line="480" w:lineRule="auto"/>
        <w:ind w:firstLine="480"/>
        <w:rPr>
          <w:color w:val="auto"/>
        </w:rPr>
      </w:pPr>
    </w:p>
    <w:p>
      <w:pPr>
        <w:spacing w:line="480" w:lineRule="auto"/>
        <w:ind w:firstLine="480"/>
        <w:rPr>
          <w:color w:val="auto"/>
        </w:rPr>
      </w:pPr>
    </w:p>
    <w:p>
      <w:pPr>
        <w:spacing w:line="480" w:lineRule="auto"/>
        <w:ind w:firstLine="480"/>
        <w:rPr>
          <w:color w:val="auto"/>
        </w:rPr>
      </w:pPr>
      <w:r>
        <w:rPr>
          <w:color w:val="auto"/>
        </w:rPr>
        <w:t>建设</w:t>
      </w:r>
      <w:r>
        <w:rPr>
          <w:rFonts w:hint="eastAsia"/>
          <w:color w:val="auto"/>
        </w:rPr>
        <w:t>（编制）</w:t>
      </w:r>
      <w:r>
        <w:rPr>
          <w:color w:val="auto"/>
        </w:rPr>
        <w:t>单位：</w:t>
      </w:r>
      <w:r>
        <w:rPr>
          <w:color w:val="auto"/>
        </w:rPr>
        <w:fldChar w:fldCharType="begin"/>
      </w:r>
      <w:r>
        <w:rPr>
          <w:color w:val="auto"/>
        </w:rPr>
        <w:instrText xml:space="preserve"> DOCPROPERTY  项目名称  \* MERGEFORMAT </w:instrText>
      </w:r>
      <w:r>
        <w:rPr>
          <w:color w:val="auto"/>
        </w:rPr>
        <w:fldChar w:fldCharType="separate"/>
      </w:r>
      <w:r>
        <w:rPr>
          <w:rFonts w:hint="eastAsia"/>
          <w:color w:val="auto"/>
        </w:rPr>
        <w:t>桐乡市鸿尔纺织有限公司</w:t>
      </w:r>
      <w:r>
        <w:rPr>
          <w:color w:val="auto"/>
        </w:rPr>
        <w:fldChar w:fldCharType="end"/>
      </w:r>
    </w:p>
    <w:p>
      <w:pPr>
        <w:spacing w:line="480" w:lineRule="auto"/>
        <w:ind w:firstLine="480"/>
        <w:rPr>
          <w:bCs/>
          <w:color w:val="auto"/>
        </w:rPr>
      </w:pPr>
      <w:r>
        <w:rPr>
          <w:rFonts w:hint="eastAsia"/>
          <w:bCs/>
          <w:color w:val="auto"/>
        </w:rPr>
        <w:t>联系人：李志强</w:t>
      </w:r>
    </w:p>
    <w:p>
      <w:pPr>
        <w:spacing w:line="480" w:lineRule="auto"/>
        <w:ind w:firstLine="480"/>
        <w:rPr>
          <w:color w:val="auto"/>
        </w:rPr>
      </w:pPr>
      <w:r>
        <w:rPr>
          <w:rFonts w:hint="eastAsia"/>
          <w:color w:val="auto"/>
        </w:rPr>
        <w:t>电话：13967369136</w:t>
      </w:r>
    </w:p>
    <w:p>
      <w:pPr>
        <w:spacing w:line="480" w:lineRule="auto"/>
        <w:ind w:firstLine="480"/>
        <w:rPr>
          <w:color w:val="auto"/>
        </w:rPr>
      </w:pPr>
      <w:r>
        <w:rPr>
          <w:rFonts w:hint="eastAsia"/>
          <w:bCs/>
          <w:color w:val="auto"/>
        </w:rPr>
        <w:t>邮编：3145</w:t>
      </w:r>
      <w:r>
        <w:rPr>
          <w:bCs/>
          <w:color w:val="auto"/>
        </w:rPr>
        <w:t>00</w:t>
      </w:r>
    </w:p>
    <w:p>
      <w:pPr>
        <w:spacing w:line="480" w:lineRule="auto"/>
        <w:ind w:firstLine="480"/>
        <w:rPr>
          <w:bCs/>
          <w:color w:val="auto"/>
        </w:rPr>
      </w:pPr>
      <w:r>
        <w:rPr>
          <w:rFonts w:hint="eastAsia"/>
          <w:bCs/>
          <w:color w:val="auto"/>
        </w:rPr>
        <w:t>地址：桐乡市梧桐街道环城北路198号</w:t>
      </w:r>
    </w:p>
    <w:p>
      <w:pPr>
        <w:pStyle w:val="2"/>
        <w:ind w:left="480" w:firstLine="480"/>
        <w:rPr>
          <w:color w:val="auto"/>
        </w:rPr>
      </w:pPr>
    </w:p>
    <w:p>
      <w:pPr>
        <w:pStyle w:val="2"/>
        <w:ind w:left="480" w:firstLine="480"/>
        <w:rPr>
          <w:color w:val="auto"/>
        </w:rPr>
        <w:sectPr>
          <w:footerReference r:id="rId17" w:type="first"/>
          <w:pgSz w:w="11906" w:h="16838"/>
          <w:pgMar w:top="1418" w:right="1701" w:bottom="1418" w:left="1701" w:header="851" w:footer="992" w:gutter="0"/>
          <w:pgNumType w:fmt="numberInDash" w:start="1"/>
          <w:cols w:space="425" w:num="1"/>
          <w:titlePg/>
          <w:docGrid w:type="lines" w:linePitch="312" w:charSpace="0"/>
        </w:sectPr>
      </w:pPr>
    </w:p>
    <w:p>
      <w:pPr>
        <w:pStyle w:val="4"/>
        <w:jc w:val="center"/>
        <w:rPr>
          <w:color w:val="auto"/>
          <w:sz w:val="36"/>
          <w:szCs w:val="52"/>
        </w:rPr>
      </w:pPr>
      <w:r>
        <w:rPr>
          <w:color w:val="auto"/>
          <w:sz w:val="36"/>
          <w:szCs w:val="52"/>
        </w:rPr>
        <w:t>目录</w:t>
      </w:r>
    </w:p>
    <w:p>
      <w:pPr>
        <w:pStyle w:val="15"/>
        <w:tabs>
          <w:tab w:val="right" w:leader="dot" w:pos="8296"/>
        </w:tabs>
        <w:rPr>
          <w:rFonts w:asciiTheme="minorHAnsi" w:hAnsiTheme="minorHAnsi" w:eastAsiaTheme="minorEastAsia"/>
          <w:b/>
          <w:bCs/>
          <w:color w:val="auto"/>
          <w:sz w:val="21"/>
          <w:szCs w:val="22"/>
        </w:rPr>
      </w:pPr>
      <w:r>
        <w:rPr>
          <w:rFonts w:cs="Times New Roman"/>
          <w:b/>
          <w:bCs/>
          <w:color w:val="auto"/>
          <w:sz w:val="36"/>
          <w:szCs w:val="36"/>
        </w:rPr>
        <w:fldChar w:fldCharType="begin"/>
      </w:r>
      <w:r>
        <w:rPr>
          <w:rFonts w:cs="Times New Roman"/>
          <w:b/>
          <w:bCs/>
          <w:color w:val="auto"/>
          <w:sz w:val="36"/>
          <w:szCs w:val="36"/>
        </w:rPr>
        <w:instrText xml:space="preserve">TOC \o "1-3" \h \u </w:instrText>
      </w:r>
      <w:r>
        <w:rPr>
          <w:rFonts w:cs="Times New Roman"/>
          <w:b/>
          <w:bCs/>
          <w:color w:val="auto"/>
          <w:sz w:val="36"/>
          <w:szCs w:val="36"/>
        </w:rPr>
        <w:fldChar w:fldCharType="separate"/>
      </w:r>
      <w:r>
        <w:rPr>
          <w:color w:val="auto"/>
        </w:rPr>
        <w:fldChar w:fldCharType="begin"/>
      </w:r>
      <w:r>
        <w:rPr>
          <w:color w:val="auto"/>
        </w:rPr>
        <w:instrText xml:space="preserve"> HYPERLINK \l "_Toc61958985" </w:instrText>
      </w:r>
      <w:r>
        <w:rPr>
          <w:color w:val="auto"/>
        </w:rPr>
        <w:fldChar w:fldCharType="separate"/>
      </w:r>
      <w:r>
        <w:rPr>
          <w:rStyle w:val="27"/>
          <w:b/>
          <w:bCs/>
          <w:color w:val="auto"/>
        </w:rPr>
        <w:t>1</w:t>
      </w:r>
      <w:r>
        <w:rPr>
          <w:rStyle w:val="27"/>
          <w:rFonts w:hint="eastAsia"/>
          <w:b/>
          <w:bCs/>
          <w:color w:val="auto"/>
        </w:rPr>
        <w:t>、</w:t>
      </w:r>
      <w:r>
        <w:rPr>
          <w:rStyle w:val="27"/>
          <w:b/>
          <w:bCs/>
          <w:color w:val="auto"/>
        </w:rPr>
        <w:t>验收项目概况</w:t>
      </w:r>
      <w:r>
        <w:rPr>
          <w:b/>
          <w:bCs/>
          <w:color w:val="auto"/>
        </w:rPr>
        <w:tab/>
      </w:r>
      <w:r>
        <w:rPr>
          <w:b/>
          <w:bCs/>
          <w:color w:val="auto"/>
        </w:rPr>
        <w:fldChar w:fldCharType="begin"/>
      </w:r>
      <w:r>
        <w:rPr>
          <w:b/>
          <w:bCs/>
          <w:color w:val="auto"/>
        </w:rPr>
        <w:instrText xml:space="preserve"> PAGEREF _Toc61958985 \h </w:instrText>
      </w:r>
      <w:r>
        <w:rPr>
          <w:b/>
          <w:bCs/>
          <w:color w:val="auto"/>
        </w:rPr>
        <w:fldChar w:fldCharType="separate"/>
      </w:r>
      <w:r>
        <w:rPr>
          <w:b/>
          <w:bCs/>
          <w:color w:val="auto"/>
        </w:rPr>
        <w:t>- 1 -</w:t>
      </w:r>
      <w:r>
        <w:rPr>
          <w:b/>
          <w:bCs/>
          <w:color w:val="auto"/>
        </w:rPr>
        <w:fldChar w:fldCharType="end"/>
      </w:r>
      <w:r>
        <w:rPr>
          <w:b/>
          <w:bCs/>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"_Toc61958986" </w:instrText>
      </w:r>
      <w:r>
        <w:rPr>
          <w:color w:val="auto"/>
        </w:rPr>
        <w:fldChar w:fldCharType="separate"/>
      </w:r>
      <w:r>
        <w:rPr>
          <w:rStyle w:val="27"/>
          <w:b/>
          <w:bCs/>
          <w:color w:val="auto"/>
        </w:rPr>
        <w:t>2</w:t>
      </w:r>
      <w:r>
        <w:rPr>
          <w:rStyle w:val="27"/>
          <w:rFonts w:hint="eastAsia"/>
          <w:b/>
          <w:bCs/>
          <w:color w:val="auto"/>
        </w:rPr>
        <w:t>、</w:t>
      </w:r>
      <w:r>
        <w:rPr>
          <w:rStyle w:val="27"/>
          <w:b/>
          <w:bCs/>
          <w:color w:val="auto"/>
        </w:rPr>
        <w:t>验收依据</w:t>
      </w:r>
      <w:r>
        <w:rPr>
          <w:b/>
          <w:bCs/>
          <w:color w:val="auto"/>
        </w:rPr>
        <w:tab/>
      </w:r>
      <w:r>
        <w:rPr>
          <w:b/>
          <w:bCs/>
          <w:color w:val="auto"/>
        </w:rPr>
        <w:fldChar w:fldCharType="begin"/>
      </w:r>
      <w:r>
        <w:rPr>
          <w:b/>
          <w:bCs/>
          <w:color w:val="auto"/>
        </w:rPr>
        <w:instrText xml:space="preserve"> PAGEREF _Toc61958986 \h </w:instrText>
      </w:r>
      <w:r>
        <w:rPr>
          <w:b/>
          <w:bCs/>
          <w:color w:val="auto"/>
        </w:rPr>
        <w:fldChar w:fldCharType="separate"/>
      </w:r>
      <w:r>
        <w:rPr>
          <w:b/>
          <w:bCs/>
          <w:color w:val="auto"/>
        </w:rPr>
        <w:t>- 1 -</w:t>
      </w:r>
      <w:r>
        <w:rPr>
          <w:b/>
          <w:bCs/>
          <w:color w:val="auto"/>
        </w:rPr>
        <w:fldChar w:fldCharType="end"/>
      </w:r>
      <w:r>
        <w:rPr>
          <w:b/>
          <w:bCs/>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"_Toc61958987" </w:instrText>
      </w:r>
      <w:r>
        <w:rPr>
          <w:color w:val="auto"/>
        </w:rPr>
        <w:fldChar w:fldCharType="separate"/>
      </w:r>
      <w:r>
        <w:rPr>
          <w:rStyle w:val="27"/>
          <w:b/>
          <w:bCs/>
          <w:color w:val="auto"/>
        </w:rPr>
        <w:t>3</w:t>
      </w:r>
      <w:r>
        <w:rPr>
          <w:rStyle w:val="27"/>
          <w:rFonts w:hint="eastAsia"/>
          <w:b/>
          <w:bCs/>
          <w:color w:val="auto"/>
        </w:rPr>
        <w:t>、</w:t>
      </w:r>
      <w:r>
        <w:rPr>
          <w:rStyle w:val="27"/>
          <w:b/>
          <w:bCs/>
          <w:color w:val="auto"/>
        </w:rPr>
        <w:t>工程建设情况</w:t>
      </w:r>
      <w:r>
        <w:rPr>
          <w:b/>
          <w:bCs/>
          <w:color w:val="auto"/>
        </w:rPr>
        <w:tab/>
      </w:r>
      <w:r>
        <w:rPr>
          <w:b/>
          <w:bCs/>
          <w:color w:val="auto"/>
        </w:rPr>
        <w:fldChar w:fldCharType="begin"/>
      </w:r>
      <w:r>
        <w:rPr>
          <w:b/>
          <w:bCs/>
          <w:color w:val="auto"/>
        </w:rPr>
        <w:instrText xml:space="preserve"> PAGEREF _Toc61958987 \h </w:instrText>
      </w:r>
      <w:r>
        <w:rPr>
          <w:b/>
          <w:bCs/>
          <w:color w:val="auto"/>
        </w:rPr>
        <w:fldChar w:fldCharType="separate"/>
      </w:r>
      <w:r>
        <w:rPr>
          <w:b/>
          <w:bCs/>
          <w:color w:val="auto"/>
        </w:rPr>
        <w:t>- 4 -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"_Toc61958988" </w:instrText>
      </w:r>
      <w:r>
        <w:rPr>
          <w:color w:val="auto"/>
        </w:rPr>
        <w:fldChar w:fldCharType="separate"/>
      </w:r>
      <w:r>
        <w:rPr>
          <w:rStyle w:val="27"/>
          <w:rFonts w:cs="Times New Roman"/>
          <w:color w:val="auto"/>
        </w:rPr>
        <w:t>3.1地理位置及平面布置</w:t>
      </w:r>
      <w:r>
        <w:rPr>
          <w:color w:val="auto"/>
        </w:rPr>
        <w:tab/>
      </w:r>
      <w:r>
        <w:rPr>
          <w:color w:val="auto"/>
        </w:rPr>
        <w:fldChar w:fldCharType="begin"/>
      </w:r>
      <w:r>
        <w:rPr>
          <w:color w:val="auto"/>
        </w:rPr>
        <w:instrText xml:space="preserve"> PAGEREF _Toc61958988 \h </w:instrText>
      </w:r>
      <w:r>
        <w:rPr>
          <w:color w:val="auto"/>
        </w:rPr>
        <w:fldChar w:fldCharType="separate"/>
      </w:r>
      <w:r>
        <w:rPr>
          <w:color w:val="auto"/>
        </w:rPr>
        <w:t>- 4 -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"_Toc61958989" </w:instrText>
      </w:r>
      <w:r>
        <w:rPr>
          <w:color w:val="auto"/>
        </w:rPr>
        <w:fldChar w:fldCharType="separate"/>
      </w:r>
      <w:r>
        <w:rPr>
          <w:rStyle w:val="27"/>
          <w:rFonts w:cs="Times New Roman"/>
          <w:color w:val="auto"/>
        </w:rPr>
        <w:t>3.2建设内容</w:t>
      </w:r>
      <w:r>
        <w:rPr>
          <w:color w:val="auto"/>
        </w:rPr>
        <w:tab/>
      </w:r>
      <w:r>
        <w:rPr>
          <w:color w:val="auto"/>
        </w:rPr>
        <w:fldChar w:fldCharType="begin"/>
      </w:r>
      <w:r>
        <w:rPr>
          <w:color w:val="auto"/>
        </w:rPr>
        <w:instrText xml:space="preserve"> PAGEREF _Toc61958989 \h </w:instrText>
      </w:r>
      <w:r>
        <w:rPr>
          <w:color w:val="auto"/>
        </w:rPr>
        <w:fldChar w:fldCharType="separate"/>
      </w:r>
      <w:r>
        <w:rPr>
          <w:color w:val="auto"/>
        </w:rPr>
        <w:t>- 6 -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"_Toc61958990" </w:instrText>
      </w:r>
      <w:r>
        <w:rPr>
          <w:color w:val="auto"/>
        </w:rPr>
        <w:fldChar w:fldCharType="separate"/>
      </w:r>
      <w:r>
        <w:rPr>
          <w:rStyle w:val="27"/>
          <w:rFonts w:cs="Times New Roman"/>
          <w:color w:val="auto"/>
        </w:rPr>
        <w:t>3.3主要原辅材料</w:t>
      </w:r>
      <w:r>
        <w:rPr>
          <w:color w:val="auto"/>
        </w:rPr>
        <w:tab/>
      </w:r>
      <w:r>
        <w:rPr>
          <w:color w:val="auto"/>
        </w:rPr>
        <w:fldChar w:fldCharType="begin"/>
      </w:r>
      <w:r>
        <w:rPr>
          <w:color w:val="auto"/>
        </w:rPr>
        <w:instrText xml:space="preserve"> PAGEREF _Toc61958990 \h </w:instrText>
      </w:r>
      <w:r>
        <w:rPr>
          <w:color w:val="auto"/>
        </w:rPr>
        <w:fldChar w:fldCharType="separate"/>
      </w:r>
      <w:r>
        <w:rPr>
          <w:color w:val="auto"/>
        </w:rPr>
        <w:t>- 6 -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"_Toc61958991" </w:instrText>
      </w:r>
      <w:r>
        <w:rPr>
          <w:color w:val="auto"/>
        </w:rPr>
        <w:fldChar w:fldCharType="separate"/>
      </w:r>
      <w:r>
        <w:rPr>
          <w:rStyle w:val="27"/>
          <w:rFonts w:cs="Times New Roman"/>
          <w:color w:val="auto"/>
        </w:rPr>
        <w:t>3.4</w:t>
      </w:r>
      <w:r>
        <w:rPr>
          <w:rStyle w:val="27"/>
          <w:rFonts w:hint="eastAsia" w:cs="Times New Roman"/>
          <w:color w:val="auto"/>
        </w:rPr>
        <w:t>用水情况</w:t>
      </w:r>
      <w:r>
        <w:rPr>
          <w:color w:val="auto"/>
        </w:rPr>
        <w:tab/>
      </w:r>
      <w:r>
        <w:rPr>
          <w:color w:val="auto"/>
        </w:rPr>
        <w:fldChar w:fldCharType="begin"/>
      </w:r>
      <w:r>
        <w:rPr>
          <w:color w:val="auto"/>
        </w:rPr>
        <w:instrText xml:space="preserve"> PAGEREF _Toc61958991 \h </w:instrText>
      </w:r>
      <w:r>
        <w:rPr>
          <w:color w:val="auto"/>
        </w:rPr>
        <w:fldChar w:fldCharType="separate"/>
      </w:r>
      <w:r>
        <w:rPr>
          <w:color w:val="auto"/>
        </w:rPr>
        <w:t>- 7 -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"_Toc61958992" </w:instrText>
      </w:r>
      <w:r>
        <w:rPr>
          <w:color w:val="auto"/>
        </w:rPr>
        <w:fldChar w:fldCharType="separate"/>
      </w:r>
      <w:r>
        <w:rPr>
          <w:rStyle w:val="27"/>
          <w:rFonts w:cs="Times New Roman"/>
          <w:color w:val="auto"/>
        </w:rPr>
        <w:t>3.5生产工艺</w:t>
      </w:r>
      <w:r>
        <w:rPr>
          <w:color w:val="auto"/>
        </w:rPr>
        <w:tab/>
      </w:r>
      <w:r>
        <w:rPr>
          <w:color w:val="auto"/>
        </w:rPr>
        <w:fldChar w:fldCharType="begin"/>
      </w:r>
      <w:r>
        <w:rPr>
          <w:color w:val="auto"/>
        </w:rPr>
        <w:instrText xml:space="preserve"> PAGEREF _Toc61958992 \h </w:instrText>
      </w:r>
      <w:r>
        <w:rPr>
          <w:color w:val="auto"/>
        </w:rPr>
        <w:fldChar w:fldCharType="separate"/>
      </w:r>
      <w:r>
        <w:rPr>
          <w:color w:val="auto"/>
        </w:rPr>
        <w:t>- 7 -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"_Toc61958993" </w:instrText>
      </w:r>
      <w:r>
        <w:rPr>
          <w:color w:val="auto"/>
        </w:rPr>
        <w:fldChar w:fldCharType="separate"/>
      </w:r>
      <w:r>
        <w:rPr>
          <w:rStyle w:val="27"/>
          <w:rFonts w:cs="Times New Roman"/>
          <w:color w:val="auto"/>
        </w:rPr>
        <w:t>3.6项目变动情况</w:t>
      </w:r>
      <w:r>
        <w:rPr>
          <w:color w:val="auto"/>
        </w:rPr>
        <w:tab/>
      </w:r>
      <w:r>
        <w:rPr>
          <w:color w:val="auto"/>
        </w:rPr>
        <w:fldChar w:fldCharType="begin"/>
      </w:r>
      <w:r>
        <w:rPr>
          <w:color w:val="auto"/>
        </w:rPr>
        <w:instrText xml:space="preserve"> PAGEREF _Toc61958993 \h </w:instrText>
      </w:r>
      <w:r>
        <w:rPr>
          <w:color w:val="auto"/>
        </w:rPr>
        <w:fldChar w:fldCharType="separate"/>
      </w:r>
      <w:r>
        <w:rPr>
          <w:color w:val="auto"/>
        </w:rPr>
        <w:t>- 9 -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"_Toc61958994" </w:instrText>
      </w:r>
      <w:r>
        <w:rPr>
          <w:color w:val="auto"/>
        </w:rPr>
        <w:fldChar w:fldCharType="separate"/>
      </w:r>
      <w:r>
        <w:rPr>
          <w:rStyle w:val="27"/>
          <w:b/>
          <w:bCs/>
          <w:color w:val="auto"/>
        </w:rPr>
        <w:t>4</w:t>
      </w:r>
      <w:r>
        <w:rPr>
          <w:rStyle w:val="27"/>
          <w:rFonts w:hint="eastAsia"/>
          <w:b/>
          <w:bCs/>
          <w:color w:val="auto"/>
        </w:rPr>
        <w:t>、</w:t>
      </w:r>
      <w:r>
        <w:rPr>
          <w:rStyle w:val="27"/>
          <w:b/>
          <w:bCs/>
          <w:color w:val="auto"/>
        </w:rPr>
        <w:t>环境保护设施</w:t>
      </w:r>
      <w:r>
        <w:rPr>
          <w:b/>
          <w:bCs/>
          <w:color w:val="auto"/>
        </w:rPr>
        <w:tab/>
      </w:r>
      <w:r>
        <w:rPr>
          <w:b/>
          <w:bCs/>
          <w:color w:val="auto"/>
        </w:rPr>
        <w:fldChar w:fldCharType="begin"/>
      </w:r>
      <w:r>
        <w:rPr>
          <w:b/>
          <w:bCs/>
          <w:color w:val="auto"/>
        </w:rPr>
        <w:instrText xml:space="preserve"> PAGEREF _Toc61958994 \h </w:instrText>
      </w:r>
      <w:r>
        <w:rPr>
          <w:b/>
          <w:bCs/>
          <w:color w:val="auto"/>
        </w:rPr>
        <w:fldChar w:fldCharType="separate"/>
      </w:r>
      <w:r>
        <w:rPr>
          <w:b/>
          <w:bCs/>
          <w:color w:val="auto"/>
        </w:rPr>
        <w:t>- 10 -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"_Toc61958995" </w:instrText>
      </w:r>
      <w:r>
        <w:rPr>
          <w:color w:val="auto"/>
        </w:rPr>
        <w:fldChar w:fldCharType="separate"/>
      </w:r>
      <w:r>
        <w:rPr>
          <w:rStyle w:val="27"/>
          <w:color w:val="auto"/>
        </w:rPr>
        <w:t>4.1污染物治理设施</w:t>
      </w:r>
      <w:r>
        <w:rPr>
          <w:color w:val="auto"/>
        </w:rPr>
        <w:tab/>
      </w:r>
      <w:r>
        <w:rPr>
          <w:color w:val="auto"/>
        </w:rPr>
        <w:fldChar w:fldCharType="begin"/>
      </w:r>
      <w:r>
        <w:rPr>
          <w:color w:val="auto"/>
        </w:rPr>
        <w:instrText xml:space="preserve"> PAGEREF _Toc61958995 \h </w:instrText>
      </w:r>
      <w:r>
        <w:rPr>
          <w:color w:val="auto"/>
        </w:rPr>
        <w:fldChar w:fldCharType="separate"/>
      </w:r>
      <w:r>
        <w:rPr>
          <w:color w:val="auto"/>
        </w:rPr>
        <w:t>- 10 -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"_Toc61959001" </w:instrText>
      </w:r>
      <w:r>
        <w:rPr>
          <w:color w:val="auto"/>
        </w:rPr>
        <w:fldChar w:fldCharType="separate"/>
      </w:r>
      <w:r>
        <w:rPr>
          <w:rStyle w:val="27"/>
          <w:rFonts w:cs="Times New Roman"/>
          <w:color w:val="auto"/>
        </w:rPr>
        <w:t>4.2环保设施投资及</w:t>
      </w:r>
      <w:r>
        <w:rPr>
          <w:rStyle w:val="27"/>
          <w:rFonts w:ascii="宋体" w:hAnsi="宋体" w:eastAsia="宋体" w:cs="Times New Roman"/>
          <w:color w:val="auto"/>
        </w:rPr>
        <w:t>“三同时”</w:t>
      </w:r>
      <w:r>
        <w:rPr>
          <w:rStyle w:val="27"/>
          <w:rFonts w:cs="Times New Roman"/>
          <w:color w:val="auto"/>
        </w:rPr>
        <w:t>落实情况</w:t>
      </w:r>
      <w:r>
        <w:rPr>
          <w:color w:val="auto"/>
        </w:rPr>
        <w:tab/>
      </w:r>
      <w:r>
        <w:rPr>
          <w:color w:val="auto"/>
        </w:rPr>
        <w:fldChar w:fldCharType="begin"/>
      </w:r>
      <w:r>
        <w:rPr>
          <w:color w:val="auto"/>
        </w:rPr>
        <w:instrText xml:space="preserve"> PAGEREF _Toc61959001 \h </w:instrText>
      </w:r>
      <w:r>
        <w:rPr>
          <w:color w:val="auto"/>
        </w:rPr>
        <w:fldChar w:fldCharType="separate"/>
      </w:r>
      <w:r>
        <w:rPr>
          <w:color w:val="auto"/>
        </w:rPr>
        <w:t>- 11 -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"_Toc61959002" </w:instrText>
      </w:r>
      <w:r>
        <w:rPr>
          <w:color w:val="auto"/>
        </w:rPr>
        <w:fldChar w:fldCharType="separate"/>
      </w:r>
      <w:r>
        <w:rPr>
          <w:rStyle w:val="27"/>
          <w:b/>
          <w:bCs/>
          <w:color w:val="auto"/>
        </w:rPr>
        <w:t>5</w:t>
      </w:r>
      <w:r>
        <w:rPr>
          <w:rStyle w:val="27"/>
          <w:rFonts w:hint="eastAsia"/>
          <w:b/>
          <w:bCs/>
          <w:color w:val="auto"/>
        </w:rPr>
        <w:t>、</w:t>
      </w:r>
      <w:r>
        <w:rPr>
          <w:rStyle w:val="27"/>
          <w:b/>
          <w:bCs/>
          <w:color w:val="auto"/>
        </w:rPr>
        <w:t>建设项目环评报告</w:t>
      </w:r>
      <w:r>
        <w:rPr>
          <w:rStyle w:val="27"/>
          <w:rFonts w:hint="eastAsia"/>
          <w:b/>
          <w:bCs/>
          <w:color w:val="auto"/>
        </w:rPr>
        <w:t>表</w:t>
      </w:r>
      <w:r>
        <w:rPr>
          <w:rStyle w:val="27"/>
          <w:b/>
          <w:bCs/>
          <w:color w:val="auto"/>
        </w:rPr>
        <w:t>的主要结论与建议及审批部门审批决定</w:t>
      </w:r>
      <w:r>
        <w:rPr>
          <w:b/>
          <w:bCs/>
          <w:color w:val="auto"/>
        </w:rPr>
        <w:tab/>
      </w:r>
      <w:r>
        <w:rPr>
          <w:b/>
          <w:bCs/>
          <w:color w:val="auto"/>
        </w:rPr>
        <w:fldChar w:fldCharType="begin"/>
      </w:r>
      <w:r>
        <w:rPr>
          <w:b/>
          <w:bCs/>
          <w:color w:val="auto"/>
        </w:rPr>
        <w:instrText xml:space="preserve"> PAGEREF _Toc61959002 \h </w:instrText>
      </w:r>
      <w:r>
        <w:rPr>
          <w:b/>
          <w:bCs/>
          <w:color w:val="auto"/>
        </w:rPr>
        <w:fldChar w:fldCharType="separate"/>
      </w:r>
      <w:r>
        <w:rPr>
          <w:b/>
          <w:bCs/>
          <w:color w:val="auto"/>
        </w:rPr>
        <w:t>- 14 -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"_Toc61959003" </w:instrText>
      </w:r>
      <w:r>
        <w:rPr>
          <w:color w:val="auto"/>
        </w:rPr>
        <w:fldChar w:fldCharType="separate"/>
      </w:r>
      <w:r>
        <w:rPr>
          <w:rStyle w:val="27"/>
          <w:color w:val="auto"/>
        </w:rPr>
        <w:t>5.1建设项目环评报告</w:t>
      </w:r>
      <w:r>
        <w:rPr>
          <w:rStyle w:val="27"/>
          <w:rFonts w:hint="eastAsia"/>
          <w:color w:val="auto"/>
        </w:rPr>
        <w:t>表</w:t>
      </w:r>
      <w:r>
        <w:rPr>
          <w:rStyle w:val="27"/>
          <w:color w:val="auto"/>
        </w:rPr>
        <w:t>的主要结论与建议</w:t>
      </w:r>
      <w:r>
        <w:rPr>
          <w:color w:val="auto"/>
        </w:rPr>
        <w:tab/>
      </w:r>
      <w:r>
        <w:rPr>
          <w:color w:val="auto"/>
        </w:rPr>
        <w:fldChar w:fldCharType="begin"/>
      </w:r>
      <w:r>
        <w:rPr>
          <w:color w:val="auto"/>
        </w:rPr>
        <w:instrText xml:space="preserve"> PAGEREF _Toc61959003 \h </w:instrText>
      </w:r>
      <w:r>
        <w:rPr>
          <w:color w:val="auto"/>
        </w:rPr>
        <w:fldChar w:fldCharType="separate"/>
      </w:r>
      <w:r>
        <w:rPr>
          <w:color w:val="auto"/>
        </w:rPr>
        <w:t>- 14 -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"_Toc61959004" </w:instrText>
      </w:r>
      <w:r>
        <w:rPr>
          <w:color w:val="auto"/>
        </w:rPr>
        <w:fldChar w:fldCharType="separate"/>
      </w:r>
      <w:r>
        <w:rPr>
          <w:rStyle w:val="27"/>
          <w:rFonts w:cs="Times New Roman"/>
          <w:color w:val="auto"/>
        </w:rPr>
        <w:t>5.2审批部门审批决定</w:t>
      </w:r>
      <w:r>
        <w:rPr>
          <w:color w:val="auto"/>
        </w:rPr>
        <w:tab/>
      </w:r>
      <w:r>
        <w:rPr>
          <w:color w:val="auto"/>
        </w:rPr>
        <w:fldChar w:fldCharType="begin"/>
      </w:r>
      <w:r>
        <w:rPr>
          <w:color w:val="auto"/>
        </w:rPr>
        <w:instrText xml:space="preserve"> PAGEREF _Toc61959004 \h </w:instrText>
      </w:r>
      <w:r>
        <w:rPr>
          <w:color w:val="auto"/>
        </w:rPr>
        <w:fldChar w:fldCharType="separate"/>
      </w:r>
      <w:r>
        <w:rPr>
          <w:color w:val="auto"/>
        </w:rPr>
        <w:t>- 16 -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"_Toc61959005" </w:instrText>
      </w:r>
      <w:r>
        <w:rPr>
          <w:color w:val="auto"/>
        </w:rPr>
        <w:fldChar w:fldCharType="separate"/>
      </w:r>
      <w:r>
        <w:rPr>
          <w:rStyle w:val="27"/>
          <w:b/>
          <w:bCs/>
          <w:color w:val="auto"/>
        </w:rPr>
        <w:t>6</w:t>
      </w:r>
      <w:r>
        <w:rPr>
          <w:rStyle w:val="27"/>
          <w:rFonts w:hint="eastAsia"/>
          <w:b/>
          <w:bCs/>
          <w:color w:val="auto"/>
        </w:rPr>
        <w:t>、</w:t>
      </w:r>
      <w:r>
        <w:rPr>
          <w:rStyle w:val="27"/>
          <w:b/>
          <w:bCs/>
          <w:color w:val="auto"/>
        </w:rPr>
        <w:t>验收执行标准</w:t>
      </w:r>
      <w:r>
        <w:rPr>
          <w:b/>
          <w:bCs/>
          <w:color w:val="auto"/>
        </w:rPr>
        <w:tab/>
      </w:r>
      <w:r>
        <w:rPr>
          <w:b/>
          <w:bCs/>
          <w:color w:val="auto"/>
        </w:rPr>
        <w:fldChar w:fldCharType="begin"/>
      </w:r>
      <w:r>
        <w:rPr>
          <w:b/>
          <w:bCs/>
          <w:color w:val="auto"/>
        </w:rPr>
        <w:instrText xml:space="preserve"> PAGEREF _Toc61959005 \h </w:instrText>
      </w:r>
      <w:r>
        <w:rPr>
          <w:b/>
          <w:bCs/>
          <w:color w:val="auto"/>
        </w:rPr>
        <w:fldChar w:fldCharType="separate"/>
      </w:r>
      <w:r>
        <w:rPr>
          <w:b/>
          <w:bCs/>
          <w:color w:val="auto"/>
        </w:rPr>
        <w:t>- 18 -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"_Toc61959006" </w:instrText>
      </w:r>
      <w:r>
        <w:rPr>
          <w:color w:val="auto"/>
        </w:rPr>
        <w:fldChar w:fldCharType="separate"/>
      </w:r>
      <w:r>
        <w:rPr>
          <w:rStyle w:val="27"/>
          <w:color w:val="auto"/>
        </w:rPr>
        <w:t>6.1废水</w:t>
      </w:r>
      <w:r>
        <w:rPr>
          <w:color w:val="auto"/>
        </w:rPr>
        <w:tab/>
      </w:r>
      <w:r>
        <w:rPr>
          <w:color w:val="auto"/>
        </w:rPr>
        <w:fldChar w:fldCharType="begin"/>
      </w:r>
      <w:r>
        <w:rPr>
          <w:color w:val="auto"/>
        </w:rPr>
        <w:instrText xml:space="preserve"> PAGEREF _Toc61959006 \h </w:instrText>
      </w:r>
      <w:r>
        <w:rPr>
          <w:color w:val="auto"/>
        </w:rPr>
        <w:fldChar w:fldCharType="separate"/>
      </w:r>
      <w:r>
        <w:rPr>
          <w:color w:val="auto"/>
        </w:rPr>
        <w:t>- 18 -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"_Toc61959007" </w:instrText>
      </w:r>
      <w:r>
        <w:rPr>
          <w:color w:val="auto"/>
        </w:rPr>
        <w:fldChar w:fldCharType="separate"/>
      </w:r>
      <w:r>
        <w:rPr>
          <w:rStyle w:val="27"/>
          <w:color w:val="auto"/>
        </w:rPr>
        <w:t>6.2废气</w:t>
      </w:r>
      <w:r>
        <w:rPr>
          <w:color w:val="auto"/>
        </w:rPr>
        <w:tab/>
      </w:r>
      <w:r>
        <w:rPr>
          <w:color w:val="auto"/>
        </w:rPr>
        <w:fldChar w:fldCharType="begin"/>
      </w:r>
      <w:r>
        <w:rPr>
          <w:color w:val="auto"/>
        </w:rPr>
        <w:instrText xml:space="preserve"> PAGEREF _Toc61959007 \h </w:instrText>
      </w:r>
      <w:r>
        <w:rPr>
          <w:color w:val="auto"/>
        </w:rPr>
        <w:fldChar w:fldCharType="separate"/>
      </w:r>
      <w:r>
        <w:rPr>
          <w:color w:val="auto"/>
        </w:rPr>
        <w:t>- 18 -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"_Toc61959008" </w:instrText>
      </w:r>
      <w:r>
        <w:rPr>
          <w:color w:val="auto"/>
        </w:rPr>
        <w:fldChar w:fldCharType="separate"/>
      </w:r>
      <w:r>
        <w:rPr>
          <w:rStyle w:val="27"/>
          <w:color w:val="auto"/>
        </w:rPr>
        <w:t>6.3噪声</w:t>
      </w:r>
      <w:r>
        <w:rPr>
          <w:color w:val="auto"/>
        </w:rPr>
        <w:tab/>
      </w:r>
      <w:r>
        <w:rPr>
          <w:color w:val="auto"/>
        </w:rPr>
        <w:fldChar w:fldCharType="begin"/>
      </w:r>
      <w:r>
        <w:rPr>
          <w:color w:val="auto"/>
        </w:rPr>
        <w:instrText xml:space="preserve"> PAGEREF _Toc61959008 \h </w:instrText>
      </w:r>
      <w:r>
        <w:rPr>
          <w:color w:val="auto"/>
        </w:rPr>
        <w:fldChar w:fldCharType="separate"/>
      </w:r>
      <w:r>
        <w:rPr>
          <w:color w:val="auto"/>
        </w:rPr>
        <w:t>- 18 -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"_Toc61959009" </w:instrText>
      </w:r>
      <w:r>
        <w:rPr>
          <w:color w:val="auto"/>
        </w:rPr>
        <w:fldChar w:fldCharType="separate"/>
      </w:r>
      <w:r>
        <w:rPr>
          <w:rStyle w:val="27"/>
          <w:color w:val="auto"/>
        </w:rPr>
        <w:t>6.4固体废弃物</w:t>
      </w:r>
      <w:r>
        <w:rPr>
          <w:color w:val="auto"/>
        </w:rPr>
        <w:tab/>
      </w:r>
      <w:r>
        <w:rPr>
          <w:color w:val="auto"/>
        </w:rPr>
        <w:fldChar w:fldCharType="begin"/>
      </w:r>
      <w:r>
        <w:rPr>
          <w:color w:val="auto"/>
        </w:rPr>
        <w:instrText xml:space="preserve"> PAGEREF _Toc61959009 \h </w:instrText>
      </w:r>
      <w:r>
        <w:rPr>
          <w:color w:val="auto"/>
        </w:rPr>
        <w:fldChar w:fldCharType="separate"/>
      </w:r>
      <w:r>
        <w:rPr>
          <w:color w:val="auto"/>
        </w:rPr>
        <w:t>- 19 -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"_Toc61959010" </w:instrText>
      </w:r>
      <w:r>
        <w:rPr>
          <w:color w:val="auto"/>
        </w:rPr>
        <w:fldChar w:fldCharType="separate"/>
      </w:r>
      <w:r>
        <w:rPr>
          <w:rStyle w:val="27"/>
          <w:b/>
          <w:bCs/>
          <w:color w:val="auto"/>
        </w:rPr>
        <w:t>7</w:t>
      </w:r>
      <w:r>
        <w:rPr>
          <w:rStyle w:val="27"/>
          <w:rFonts w:hint="eastAsia"/>
          <w:b/>
          <w:bCs/>
          <w:color w:val="auto"/>
        </w:rPr>
        <w:t>、</w:t>
      </w:r>
      <w:r>
        <w:rPr>
          <w:rStyle w:val="27"/>
          <w:b/>
          <w:bCs/>
          <w:color w:val="auto"/>
        </w:rPr>
        <w:t>验收监测内容</w:t>
      </w:r>
      <w:r>
        <w:rPr>
          <w:b/>
          <w:bCs/>
          <w:color w:val="auto"/>
        </w:rPr>
        <w:tab/>
      </w:r>
      <w:r>
        <w:rPr>
          <w:b/>
          <w:bCs/>
          <w:color w:val="auto"/>
        </w:rPr>
        <w:fldChar w:fldCharType="begin"/>
      </w:r>
      <w:r>
        <w:rPr>
          <w:b/>
          <w:bCs/>
          <w:color w:val="auto"/>
        </w:rPr>
        <w:instrText xml:space="preserve"> PAGEREF _Toc61959010 \h </w:instrText>
      </w:r>
      <w:r>
        <w:rPr>
          <w:b/>
          <w:bCs/>
          <w:color w:val="auto"/>
        </w:rPr>
        <w:fldChar w:fldCharType="separate"/>
      </w:r>
      <w:r>
        <w:rPr>
          <w:b/>
          <w:bCs/>
          <w:color w:val="auto"/>
        </w:rPr>
        <w:t>- 20 -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"_Toc61959011" </w:instrText>
      </w:r>
      <w:r>
        <w:rPr>
          <w:color w:val="auto"/>
        </w:rPr>
        <w:fldChar w:fldCharType="separate"/>
      </w:r>
      <w:r>
        <w:rPr>
          <w:rStyle w:val="27"/>
          <w:color w:val="auto"/>
        </w:rPr>
        <w:t>7.1废水</w:t>
      </w:r>
      <w:r>
        <w:rPr>
          <w:color w:val="auto"/>
        </w:rPr>
        <w:tab/>
      </w:r>
      <w:r>
        <w:rPr>
          <w:color w:val="auto"/>
        </w:rPr>
        <w:fldChar w:fldCharType="begin"/>
      </w:r>
      <w:r>
        <w:rPr>
          <w:color w:val="auto"/>
        </w:rPr>
        <w:instrText xml:space="preserve"> PAGEREF _Toc61959011 \h </w:instrText>
      </w:r>
      <w:r>
        <w:rPr>
          <w:color w:val="auto"/>
        </w:rPr>
        <w:fldChar w:fldCharType="separate"/>
      </w:r>
      <w:r>
        <w:rPr>
          <w:color w:val="auto"/>
        </w:rPr>
        <w:t>- 20 -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"_Toc61959012" </w:instrText>
      </w:r>
      <w:r>
        <w:rPr>
          <w:color w:val="auto"/>
        </w:rPr>
        <w:fldChar w:fldCharType="separate"/>
      </w:r>
      <w:r>
        <w:rPr>
          <w:rStyle w:val="27"/>
          <w:color w:val="auto"/>
        </w:rPr>
        <w:t>7.2废气</w:t>
      </w:r>
      <w:r>
        <w:rPr>
          <w:color w:val="auto"/>
        </w:rPr>
        <w:tab/>
      </w:r>
      <w:r>
        <w:rPr>
          <w:color w:val="auto"/>
        </w:rPr>
        <w:fldChar w:fldCharType="begin"/>
      </w:r>
      <w:r>
        <w:rPr>
          <w:color w:val="auto"/>
        </w:rPr>
        <w:instrText xml:space="preserve"> PAGEREF _Toc61959012 \h </w:instrText>
      </w:r>
      <w:r>
        <w:rPr>
          <w:color w:val="auto"/>
        </w:rPr>
        <w:fldChar w:fldCharType="separate"/>
      </w:r>
      <w:r>
        <w:rPr>
          <w:color w:val="auto"/>
        </w:rPr>
        <w:t>- 20 -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"_Toc61959013" </w:instrText>
      </w:r>
      <w:r>
        <w:rPr>
          <w:color w:val="auto"/>
        </w:rPr>
        <w:fldChar w:fldCharType="separate"/>
      </w:r>
      <w:r>
        <w:rPr>
          <w:rStyle w:val="27"/>
          <w:rFonts w:cs="Times New Roman"/>
          <w:color w:val="auto"/>
          <w:kern w:val="44"/>
        </w:rPr>
        <w:t>7.3噪声</w:t>
      </w:r>
      <w:r>
        <w:rPr>
          <w:color w:val="auto"/>
        </w:rPr>
        <w:tab/>
      </w:r>
      <w:r>
        <w:rPr>
          <w:color w:val="auto"/>
        </w:rPr>
        <w:fldChar w:fldCharType="begin"/>
      </w:r>
      <w:r>
        <w:rPr>
          <w:color w:val="auto"/>
        </w:rPr>
        <w:instrText xml:space="preserve"> PAGEREF _Toc61959013 \h </w:instrText>
      </w:r>
      <w:r>
        <w:rPr>
          <w:color w:val="auto"/>
        </w:rPr>
        <w:fldChar w:fldCharType="separate"/>
      </w:r>
      <w:r>
        <w:rPr>
          <w:color w:val="auto"/>
        </w:rPr>
        <w:t>- 20 -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"_Toc61959014" </w:instrText>
      </w:r>
      <w:r>
        <w:rPr>
          <w:color w:val="auto"/>
        </w:rPr>
        <w:fldChar w:fldCharType="separate"/>
      </w:r>
      <w:r>
        <w:rPr>
          <w:rStyle w:val="27"/>
          <w:rFonts w:cs="Times New Roman"/>
          <w:color w:val="auto"/>
          <w:kern w:val="44"/>
        </w:rPr>
        <w:t>7.4固废</w:t>
      </w:r>
      <w:r>
        <w:rPr>
          <w:color w:val="auto"/>
        </w:rPr>
        <w:tab/>
      </w:r>
      <w:r>
        <w:rPr>
          <w:color w:val="auto"/>
        </w:rPr>
        <w:fldChar w:fldCharType="begin"/>
      </w:r>
      <w:r>
        <w:rPr>
          <w:color w:val="auto"/>
        </w:rPr>
        <w:instrText xml:space="preserve"> PAGEREF _Toc61959014 \h </w:instrText>
      </w:r>
      <w:r>
        <w:rPr>
          <w:color w:val="auto"/>
        </w:rPr>
        <w:fldChar w:fldCharType="separate"/>
      </w:r>
      <w:r>
        <w:rPr>
          <w:color w:val="auto"/>
        </w:rPr>
        <w:t>- 20 -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"_Toc61959015" </w:instrText>
      </w:r>
      <w:r>
        <w:rPr>
          <w:color w:val="auto"/>
        </w:rPr>
        <w:fldChar w:fldCharType="separate"/>
      </w:r>
      <w:r>
        <w:rPr>
          <w:rStyle w:val="27"/>
          <w:b/>
          <w:bCs/>
          <w:color w:val="auto"/>
        </w:rPr>
        <w:t>8</w:t>
      </w:r>
      <w:r>
        <w:rPr>
          <w:rStyle w:val="27"/>
          <w:rFonts w:hint="eastAsia"/>
          <w:b/>
          <w:bCs/>
          <w:color w:val="auto"/>
        </w:rPr>
        <w:t>、</w:t>
      </w:r>
      <w:r>
        <w:rPr>
          <w:rStyle w:val="27"/>
          <w:b/>
          <w:bCs/>
          <w:color w:val="auto"/>
        </w:rPr>
        <w:t>质量保证及质量控制</w:t>
      </w:r>
      <w:r>
        <w:rPr>
          <w:b/>
          <w:bCs/>
          <w:color w:val="auto"/>
        </w:rPr>
        <w:tab/>
      </w:r>
      <w:r>
        <w:rPr>
          <w:b/>
          <w:bCs/>
          <w:color w:val="auto"/>
        </w:rPr>
        <w:fldChar w:fldCharType="begin"/>
      </w:r>
      <w:r>
        <w:rPr>
          <w:b/>
          <w:bCs/>
          <w:color w:val="auto"/>
        </w:rPr>
        <w:instrText xml:space="preserve"> PAGEREF _Toc61959015 \h </w:instrText>
      </w:r>
      <w:r>
        <w:rPr>
          <w:b/>
          <w:bCs/>
          <w:color w:val="auto"/>
        </w:rPr>
        <w:fldChar w:fldCharType="separate"/>
      </w:r>
      <w:r>
        <w:rPr>
          <w:b/>
          <w:bCs/>
          <w:color w:val="auto"/>
        </w:rPr>
        <w:t>- 21 -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"_Toc61959016" </w:instrText>
      </w:r>
      <w:r>
        <w:rPr>
          <w:color w:val="auto"/>
        </w:rPr>
        <w:fldChar w:fldCharType="separate"/>
      </w:r>
      <w:r>
        <w:rPr>
          <w:rStyle w:val="27"/>
          <w:color w:val="auto"/>
        </w:rPr>
        <w:t>8.1监测分析方法</w:t>
      </w:r>
      <w:r>
        <w:rPr>
          <w:color w:val="auto"/>
        </w:rPr>
        <w:tab/>
      </w:r>
      <w:r>
        <w:rPr>
          <w:color w:val="auto"/>
        </w:rPr>
        <w:fldChar w:fldCharType="begin"/>
      </w:r>
      <w:r>
        <w:rPr>
          <w:color w:val="auto"/>
        </w:rPr>
        <w:instrText xml:space="preserve"> PAGEREF _Toc61959016 \h </w:instrText>
      </w:r>
      <w:r>
        <w:rPr>
          <w:color w:val="auto"/>
        </w:rPr>
        <w:fldChar w:fldCharType="separate"/>
      </w:r>
      <w:r>
        <w:rPr>
          <w:color w:val="auto"/>
        </w:rPr>
        <w:t>- 21 -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"_Toc61959017" </w:instrText>
      </w:r>
      <w:r>
        <w:rPr>
          <w:color w:val="auto"/>
        </w:rPr>
        <w:fldChar w:fldCharType="separate"/>
      </w:r>
      <w:r>
        <w:rPr>
          <w:rStyle w:val="27"/>
          <w:color w:val="auto"/>
        </w:rPr>
        <w:t>8.2监测仪器</w:t>
      </w:r>
      <w:r>
        <w:rPr>
          <w:color w:val="auto"/>
        </w:rPr>
        <w:tab/>
      </w:r>
      <w:r>
        <w:rPr>
          <w:color w:val="auto"/>
        </w:rPr>
        <w:fldChar w:fldCharType="begin"/>
      </w:r>
      <w:r>
        <w:rPr>
          <w:color w:val="auto"/>
        </w:rPr>
        <w:instrText xml:space="preserve"> PAGEREF _Toc61959017 \h </w:instrText>
      </w:r>
      <w:r>
        <w:rPr>
          <w:color w:val="auto"/>
        </w:rPr>
        <w:fldChar w:fldCharType="separate"/>
      </w:r>
      <w:r>
        <w:rPr>
          <w:color w:val="auto"/>
        </w:rPr>
        <w:t>- 21 -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"_Toc61959018" </w:instrText>
      </w:r>
      <w:r>
        <w:rPr>
          <w:color w:val="auto"/>
        </w:rPr>
        <w:fldChar w:fldCharType="separate"/>
      </w:r>
      <w:r>
        <w:rPr>
          <w:rStyle w:val="27"/>
          <w:color w:val="auto"/>
        </w:rPr>
        <w:t>8.3水质监测分析过程中的质量保证和质量控制</w:t>
      </w:r>
      <w:r>
        <w:rPr>
          <w:color w:val="auto"/>
        </w:rPr>
        <w:tab/>
      </w:r>
      <w:r>
        <w:rPr>
          <w:color w:val="auto"/>
        </w:rPr>
        <w:fldChar w:fldCharType="begin"/>
      </w:r>
      <w:r>
        <w:rPr>
          <w:color w:val="auto"/>
        </w:rPr>
        <w:instrText xml:space="preserve"> PAGEREF _Toc61959018 \h </w:instrText>
      </w:r>
      <w:r>
        <w:rPr>
          <w:color w:val="auto"/>
        </w:rPr>
        <w:fldChar w:fldCharType="separate"/>
      </w:r>
      <w:r>
        <w:rPr>
          <w:color w:val="auto"/>
        </w:rPr>
        <w:t>- 22 -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"_Toc61959019" </w:instrText>
      </w:r>
      <w:r>
        <w:rPr>
          <w:color w:val="auto"/>
        </w:rPr>
        <w:fldChar w:fldCharType="separate"/>
      </w:r>
      <w:r>
        <w:rPr>
          <w:rStyle w:val="27"/>
          <w:color w:val="auto"/>
        </w:rPr>
        <w:t>8.4废气监测分析过程中的质量保证和质量控制</w:t>
      </w:r>
      <w:r>
        <w:rPr>
          <w:color w:val="auto"/>
        </w:rPr>
        <w:tab/>
      </w:r>
      <w:r>
        <w:rPr>
          <w:color w:val="auto"/>
        </w:rPr>
        <w:fldChar w:fldCharType="begin"/>
      </w:r>
      <w:r>
        <w:rPr>
          <w:color w:val="auto"/>
        </w:rPr>
        <w:instrText xml:space="preserve"> PAGEREF _Toc61959019 \h </w:instrText>
      </w:r>
      <w:r>
        <w:rPr>
          <w:color w:val="auto"/>
        </w:rPr>
        <w:fldChar w:fldCharType="separate"/>
      </w:r>
      <w:r>
        <w:rPr>
          <w:color w:val="auto"/>
        </w:rPr>
        <w:t>- 22 -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"_Toc61959020" </w:instrText>
      </w:r>
      <w:r>
        <w:rPr>
          <w:color w:val="auto"/>
        </w:rPr>
        <w:fldChar w:fldCharType="separate"/>
      </w:r>
      <w:r>
        <w:rPr>
          <w:rStyle w:val="27"/>
          <w:color w:val="auto"/>
        </w:rPr>
        <w:t>8.5噪声监测分析过程中的质量保证和质量控制</w:t>
      </w:r>
      <w:r>
        <w:rPr>
          <w:color w:val="auto"/>
        </w:rPr>
        <w:tab/>
      </w:r>
      <w:r>
        <w:rPr>
          <w:color w:val="auto"/>
        </w:rPr>
        <w:fldChar w:fldCharType="begin"/>
      </w:r>
      <w:r>
        <w:rPr>
          <w:color w:val="auto"/>
        </w:rPr>
        <w:instrText xml:space="preserve"> PAGEREF _Toc61959020 \h </w:instrText>
      </w:r>
      <w:r>
        <w:rPr>
          <w:color w:val="auto"/>
        </w:rPr>
        <w:fldChar w:fldCharType="separate"/>
      </w:r>
      <w:r>
        <w:rPr>
          <w:color w:val="auto"/>
        </w:rPr>
        <w:t>- 22 -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"_Toc61959021" </w:instrText>
      </w:r>
      <w:r>
        <w:rPr>
          <w:color w:val="auto"/>
        </w:rPr>
        <w:fldChar w:fldCharType="separate"/>
      </w:r>
      <w:r>
        <w:rPr>
          <w:rStyle w:val="27"/>
          <w:b/>
          <w:bCs/>
          <w:color w:val="auto"/>
        </w:rPr>
        <w:t>9</w:t>
      </w:r>
      <w:r>
        <w:rPr>
          <w:rStyle w:val="27"/>
          <w:rFonts w:hint="eastAsia"/>
          <w:b/>
          <w:bCs/>
          <w:color w:val="auto"/>
        </w:rPr>
        <w:t>、</w:t>
      </w:r>
      <w:r>
        <w:rPr>
          <w:rStyle w:val="27"/>
          <w:b/>
          <w:bCs/>
          <w:color w:val="auto"/>
        </w:rPr>
        <w:t>验收监测结果</w:t>
      </w:r>
      <w:r>
        <w:rPr>
          <w:b/>
          <w:bCs/>
          <w:color w:val="auto"/>
        </w:rPr>
        <w:tab/>
      </w:r>
      <w:r>
        <w:rPr>
          <w:b/>
          <w:bCs/>
          <w:color w:val="auto"/>
        </w:rPr>
        <w:fldChar w:fldCharType="begin"/>
      </w:r>
      <w:r>
        <w:rPr>
          <w:b/>
          <w:bCs/>
          <w:color w:val="auto"/>
        </w:rPr>
        <w:instrText xml:space="preserve"> PAGEREF _Toc61959021 \h </w:instrText>
      </w:r>
      <w:r>
        <w:rPr>
          <w:b/>
          <w:bCs/>
          <w:color w:val="auto"/>
        </w:rPr>
        <w:fldChar w:fldCharType="separate"/>
      </w:r>
      <w:r>
        <w:rPr>
          <w:b/>
          <w:bCs/>
          <w:color w:val="auto"/>
        </w:rPr>
        <w:t>- 23 -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"_Toc61959022" </w:instrText>
      </w:r>
      <w:r>
        <w:rPr>
          <w:color w:val="auto"/>
        </w:rPr>
        <w:fldChar w:fldCharType="separate"/>
      </w:r>
      <w:r>
        <w:rPr>
          <w:rStyle w:val="27"/>
          <w:color w:val="auto"/>
        </w:rPr>
        <w:t>9.1生产工况</w:t>
      </w:r>
      <w:r>
        <w:rPr>
          <w:color w:val="auto"/>
        </w:rPr>
        <w:tab/>
      </w:r>
      <w:r>
        <w:rPr>
          <w:color w:val="auto"/>
        </w:rPr>
        <w:fldChar w:fldCharType="begin"/>
      </w:r>
      <w:r>
        <w:rPr>
          <w:color w:val="auto"/>
        </w:rPr>
        <w:instrText xml:space="preserve"> PAGEREF _Toc61959022 \h </w:instrText>
      </w:r>
      <w:r>
        <w:rPr>
          <w:color w:val="auto"/>
        </w:rPr>
        <w:fldChar w:fldCharType="separate"/>
      </w:r>
      <w:r>
        <w:rPr>
          <w:color w:val="auto"/>
        </w:rPr>
        <w:t>- 23 -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"_Toc61959023" </w:instrText>
      </w:r>
      <w:r>
        <w:rPr>
          <w:color w:val="auto"/>
        </w:rPr>
        <w:fldChar w:fldCharType="separate"/>
      </w:r>
      <w:r>
        <w:rPr>
          <w:rStyle w:val="27"/>
          <w:color w:val="auto"/>
        </w:rPr>
        <w:t>9.2环境保护设施调试效果</w:t>
      </w:r>
      <w:r>
        <w:rPr>
          <w:color w:val="auto"/>
        </w:rPr>
        <w:tab/>
      </w:r>
      <w:r>
        <w:rPr>
          <w:color w:val="auto"/>
        </w:rPr>
        <w:fldChar w:fldCharType="begin"/>
      </w:r>
      <w:r>
        <w:rPr>
          <w:color w:val="auto"/>
        </w:rPr>
        <w:instrText xml:space="preserve"> PAGEREF _Toc61959023 \h </w:instrText>
      </w:r>
      <w:r>
        <w:rPr>
          <w:color w:val="auto"/>
        </w:rPr>
        <w:fldChar w:fldCharType="separate"/>
      </w:r>
      <w:r>
        <w:rPr>
          <w:color w:val="auto"/>
        </w:rPr>
        <w:t>- 23 -</w:t>
      </w:r>
      <w:r>
        <w:rPr>
          <w:color w:val="auto"/>
        </w:rPr>
        <w:fldChar w:fldCharType="end"/>
      </w:r>
      <w:r>
        <w:rPr>
          <w:color w:val="auto"/>
        </w:rPr>
        <w:fldChar w:fldCharType="end"/>
      </w:r>
    </w:p>
    <w:p>
      <w:pPr>
        <w:pStyle w:val="15"/>
        <w:tabs>
          <w:tab w:val="right" w:leader="dot" w:pos="8296"/>
        </w:tabs>
        <w:rPr>
          <w:rFonts w:asciiTheme="minorHAnsi" w:hAnsiTheme="minorHAnsi" w:eastAsiaTheme="minorEastAsia"/>
          <w:b/>
          <w:bCs/>
          <w:color w:val="auto"/>
          <w:sz w:val="21"/>
          <w:szCs w:val="22"/>
        </w:rPr>
      </w:pPr>
      <w:r>
        <w:rPr>
          <w:color w:val="auto"/>
        </w:rPr>
        <w:fldChar w:fldCharType="begin"/>
      </w:r>
      <w:r>
        <w:rPr>
          <w:color w:val="auto"/>
        </w:rPr>
        <w:instrText xml:space="preserve"> HYPERLINK \l "_Toc61959024" </w:instrText>
      </w:r>
      <w:r>
        <w:rPr>
          <w:color w:val="auto"/>
        </w:rPr>
        <w:fldChar w:fldCharType="separate"/>
      </w:r>
      <w:r>
        <w:rPr>
          <w:rStyle w:val="27"/>
          <w:b/>
          <w:bCs/>
          <w:color w:val="auto"/>
        </w:rPr>
        <w:t>10</w:t>
      </w:r>
      <w:r>
        <w:rPr>
          <w:rStyle w:val="27"/>
          <w:rFonts w:hint="eastAsia"/>
          <w:b/>
          <w:bCs/>
          <w:color w:val="auto"/>
        </w:rPr>
        <w:t>、</w:t>
      </w:r>
      <w:r>
        <w:rPr>
          <w:rStyle w:val="27"/>
          <w:b/>
          <w:bCs/>
          <w:color w:val="auto"/>
        </w:rPr>
        <w:t>验收监测结论</w:t>
      </w:r>
      <w:r>
        <w:rPr>
          <w:b/>
          <w:bCs/>
          <w:color w:val="auto"/>
        </w:rPr>
        <w:tab/>
      </w:r>
      <w:r>
        <w:rPr>
          <w:b/>
          <w:bCs/>
          <w:color w:val="auto"/>
        </w:rPr>
        <w:fldChar w:fldCharType="begin"/>
      </w:r>
      <w:r>
        <w:rPr>
          <w:b/>
          <w:bCs/>
          <w:color w:val="auto"/>
        </w:rPr>
        <w:instrText xml:space="preserve"> PAGEREF _Toc61959024 \h </w:instrText>
      </w:r>
      <w:r>
        <w:rPr>
          <w:b/>
          <w:bCs/>
          <w:color w:val="auto"/>
        </w:rPr>
        <w:fldChar w:fldCharType="separate"/>
      </w:r>
      <w:r>
        <w:rPr>
          <w:b/>
          <w:bCs/>
          <w:color w:val="auto"/>
        </w:rPr>
        <w:t>- 30 -</w:t>
      </w:r>
      <w:r>
        <w:rPr>
          <w:b/>
          <w:bCs/>
          <w:color w:val="auto"/>
        </w:rPr>
        <w:fldChar w:fldCharType="end"/>
      </w:r>
      <w:r>
        <w:rPr>
          <w:b/>
          <w:bCs/>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"_Toc61959025" </w:instrText>
      </w:r>
      <w:r>
        <w:rPr>
          <w:color w:val="auto"/>
        </w:rPr>
        <w:fldChar w:fldCharType="separate"/>
      </w:r>
      <w:r>
        <w:rPr>
          <w:rStyle w:val="27"/>
          <w:color w:val="auto"/>
        </w:rPr>
        <w:t>10.1生产工况</w:t>
      </w:r>
      <w:r>
        <w:rPr>
          <w:color w:val="auto"/>
        </w:rPr>
        <w:tab/>
      </w:r>
      <w:r>
        <w:rPr>
          <w:color w:val="auto"/>
        </w:rPr>
        <w:fldChar w:fldCharType="begin"/>
      </w:r>
      <w:r>
        <w:rPr>
          <w:color w:val="auto"/>
        </w:rPr>
        <w:instrText xml:space="preserve"> PAGEREF _Toc61959025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"_Toc61959026" </w:instrText>
      </w:r>
      <w:r>
        <w:rPr>
          <w:color w:val="auto"/>
        </w:rPr>
        <w:fldChar w:fldCharType="separate"/>
      </w:r>
      <w:r>
        <w:rPr>
          <w:rStyle w:val="27"/>
          <w:color w:val="auto"/>
        </w:rPr>
        <w:t>10.2废水</w:t>
      </w:r>
      <w:r>
        <w:rPr>
          <w:color w:val="auto"/>
        </w:rPr>
        <w:tab/>
      </w:r>
      <w:r>
        <w:rPr>
          <w:color w:val="auto"/>
        </w:rPr>
        <w:fldChar w:fldCharType="begin"/>
      </w:r>
      <w:r>
        <w:rPr>
          <w:color w:val="auto"/>
        </w:rPr>
        <w:instrText xml:space="preserve"> PAGEREF _Toc61959026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"_Toc61959027" </w:instrText>
      </w:r>
      <w:r>
        <w:rPr>
          <w:color w:val="auto"/>
        </w:rPr>
        <w:fldChar w:fldCharType="separate"/>
      </w:r>
      <w:r>
        <w:rPr>
          <w:rStyle w:val="27"/>
          <w:rFonts w:cs="Times New Roman"/>
          <w:color w:val="auto"/>
        </w:rPr>
        <w:t>10.3废气</w:t>
      </w:r>
      <w:r>
        <w:rPr>
          <w:color w:val="auto"/>
        </w:rPr>
        <w:tab/>
      </w:r>
      <w:r>
        <w:rPr>
          <w:color w:val="auto"/>
        </w:rPr>
        <w:fldChar w:fldCharType="begin"/>
      </w:r>
      <w:r>
        <w:rPr>
          <w:color w:val="auto"/>
        </w:rPr>
        <w:instrText xml:space="preserve"> PAGEREF _Toc61959027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"_Toc61959028" </w:instrText>
      </w:r>
      <w:r>
        <w:rPr>
          <w:color w:val="auto"/>
        </w:rPr>
        <w:fldChar w:fldCharType="separate"/>
      </w:r>
      <w:r>
        <w:rPr>
          <w:rStyle w:val="27"/>
          <w:rFonts w:cs="Times New Roman"/>
          <w:color w:val="auto"/>
        </w:rPr>
        <w:t>10.4噪声</w:t>
      </w:r>
      <w:r>
        <w:rPr>
          <w:color w:val="auto"/>
        </w:rPr>
        <w:tab/>
      </w:r>
      <w:r>
        <w:rPr>
          <w:color w:val="auto"/>
        </w:rPr>
        <w:fldChar w:fldCharType="begin"/>
      </w:r>
      <w:r>
        <w:rPr>
          <w:color w:val="auto"/>
        </w:rPr>
        <w:instrText xml:space="preserve"> PAGEREF _Toc61959028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"_Toc61959029" </w:instrText>
      </w:r>
      <w:r>
        <w:rPr>
          <w:color w:val="auto"/>
        </w:rPr>
        <w:fldChar w:fldCharType="separate"/>
      </w:r>
      <w:r>
        <w:rPr>
          <w:rStyle w:val="27"/>
          <w:rFonts w:cs="Times New Roman"/>
          <w:color w:val="auto"/>
        </w:rPr>
        <w:t>10.5固体废弃物</w:t>
      </w:r>
      <w:r>
        <w:rPr>
          <w:color w:val="auto"/>
        </w:rPr>
        <w:tab/>
      </w:r>
      <w:r>
        <w:rPr>
          <w:color w:val="auto"/>
        </w:rPr>
        <w:fldChar w:fldCharType="begin"/>
      </w:r>
      <w:r>
        <w:rPr>
          <w:color w:val="auto"/>
        </w:rPr>
        <w:instrText xml:space="preserve"> PAGEREF _Toc61959029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"_Toc61959030" </w:instrText>
      </w:r>
      <w:r>
        <w:rPr>
          <w:color w:val="auto"/>
        </w:rPr>
        <w:fldChar w:fldCharType="separate"/>
      </w:r>
      <w:r>
        <w:rPr>
          <w:rStyle w:val="27"/>
          <w:rFonts w:cs="Times New Roman"/>
          <w:color w:val="auto"/>
        </w:rPr>
        <w:t>10.6总量控制</w:t>
      </w:r>
      <w:r>
        <w:rPr>
          <w:color w:val="auto"/>
        </w:rPr>
        <w:tab/>
      </w:r>
      <w:r>
        <w:rPr>
          <w:color w:val="auto"/>
        </w:rPr>
        <w:fldChar w:fldCharType="begin"/>
      </w:r>
      <w:r>
        <w:rPr>
          <w:color w:val="auto"/>
        </w:rPr>
        <w:instrText xml:space="preserve"> PAGEREF _Toc61959030 \h </w:instrText>
      </w:r>
      <w:r>
        <w:rPr>
          <w:color w:val="auto"/>
        </w:rPr>
        <w:fldChar w:fldCharType="separate"/>
      </w:r>
      <w:r>
        <w:rPr>
          <w:color w:val="auto"/>
        </w:rPr>
        <w:t>- 30 -</w:t>
      </w:r>
      <w:r>
        <w:rPr>
          <w:color w:val="auto"/>
        </w:rPr>
        <w:fldChar w:fldCharType="end"/>
      </w:r>
      <w:r>
        <w:rPr>
          <w:color w:val="auto"/>
        </w:rPr>
        <w:fldChar w:fldCharType="end"/>
      </w:r>
    </w:p>
    <w:p>
      <w:pPr>
        <w:pStyle w:val="17"/>
        <w:tabs>
          <w:tab w:val="right" w:leader="dot" w:pos="8296"/>
        </w:tabs>
        <w:ind w:firstLine="480"/>
        <w:rPr>
          <w:rFonts w:asciiTheme="minorHAnsi" w:hAnsiTheme="minorHAnsi"/>
          <w:color w:val="auto"/>
          <w:sz w:val="21"/>
          <w:szCs w:val="22"/>
        </w:rPr>
      </w:pPr>
      <w:r>
        <w:rPr>
          <w:color w:val="auto"/>
        </w:rPr>
        <w:fldChar w:fldCharType="begin"/>
      </w:r>
      <w:r>
        <w:rPr>
          <w:color w:val="auto"/>
        </w:rPr>
        <w:instrText xml:space="preserve"> HYPERLINK \l "_Toc61959031" </w:instrText>
      </w:r>
      <w:r>
        <w:rPr>
          <w:color w:val="auto"/>
        </w:rPr>
        <w:fldChar w:fldCharType="separate"/>
      </w:r>
      <w:r>
        <w:rPr>
          <w:rStyle w:val="27"/>
          <w:color w:val="auto"/>
        </w:rPr>
        <w:t>10.7结论</w:t>
      </w:r>
      <w:r>
        <w:rPr>
          <w:color w:val="auto"/>
        </w:rPr>
        <w:tab/>
      </w:r>
      <w:r>
        <w:rPr>
          <w:color w:val="auto"/>
        </w:rPr>
        <w:fldChar w:fldCharType="begin"/>
      </w:r>
      <w:r>
        <w:rPr>
          <w:color w:val="auto"/>
        </w:rPr>
        <w:instrText xml:space="preserve"> PAGEREF _Toc61959031 \h </w:instrText>
      </w:r>
      <w:r>
        <w:rPr>
          <w:color w:val="auto"/>
        </w:rPr>
        <w:fldChar w:fldCharType="separate"/>
      </w:r>
      <w:r>
        <w:rPr>
          <w:color w:val="auto"/>
        </w:rPr>
        <w:t>- 31 -</w:t>
      </w:r>
      <w:r>
        <w:rPr>
          <w:color w:val="auto"/>
        </w:rPr>
        <w:fldChar w:fldCharType="end"/>
      </w:r>
      <w:r>
        <w:rPr>
          <w:color w:val="auto"/>
        </w:rPr>
        <w:fldChar w:fldCharType="end"/>
      </w:r>
    </w:p>
    <w:p>
      <w:pPr>
        <w:ind w:firstLine="480"/>
        <w:rPr>
          <w:rFonts w:cs="Times New Roman"/>
          <w:bCs/>
          <w:color w:val="auto"/>
          <w:szCs w:val="36"/>
        </w:rPr>
      </w:pPr>
      <w:r>
        <w:rPr>
          <w:rFonts w:cs="Times New Roman"/>
          <w:bCs/>
          <w:color w:val="auto"/>
          <w:szCs w:val="36"/>
        </w:rPr>
        <w:fldChar w:fldCharType="end"/>
      </w:r>
    </w:p>
    <w:p>
      <w:pPr>
        <w:ind w:left="964" w:hanging="964" w:hangingChars="400"/>
        <w:rPr>
          <w:rFonts w:cs="Times New Roman"/>
          <w:b/>
          <w:bCs/>
          <w:color w:val="auto"/>
        </w:rPr>
      </w:pPr>
      <w:r>
        <w:rPr>
          <w:rFonts w:cs="Times New Roman"/>
          <w:b/>
          <w:bCs/>
          <w:color w:val="auto"/>
        </w:rPr>
        <w:t>附件：</w:t>
      </w:r>
    </w:p>
    <w:p>
      <w:pPr>
        <w:ind w:left="960" w:leftChars="200" w:hanging="480" w:hangingChars="200"/>
        <w:rPr>
          <w:rFonts w:cs="Times New Roman"/>
          <w:color w:val="auto"/>
        </w:rPr>
      </w:pPr>
      <w:r>
        <w:rPr>
          <w:rFonts w:cs="Times New Roman"/>
          <w:color w:val="auto"/>
        </w:rPr>
        <w:t>附件1</w:t>
      </w:r>
      <w:r>
        <w:rPr>
          <w:rFonts w:hint="eastAsia" w:cs="Times New Roman"/>
          <w:color w:val="auto"/>
        </w:rPr>
        <w:t>营业执照</w:t>
      </w:r>
    </w:p>
    <w:p>
      <w:pPr>
        <w:ind w:left="960" w:leftChars="200" w:hanging="480" w:hangingChars="200"/>
        <w:rPr>
          <w:rFonts w:cs="Times New Roman"/>
          <w:color w:val="auto"/>
        </w:rPr>
      </w:pPr>
      <w:r>
        <w:rPr>
          <w:rFonts w:cs="Times New Roman"/>
          <w:color w:val="auto"/>
        </w:rPr>
        <w:t>附件2环评</w:t>
      </w:r>
      <w:r>
        <w:rPr>
          <w:rFonts w:hint="eastAsia" w:cs="Times New Roman"/>
          <w:color w:val="auto"/>
        </w:rPr>
        <w:t>批复</w:t>
      </w:r>
    </w:p>
    <w:p>
      <w:pPr>
        <w:ind w:firstLine="480"/>
        <w:rPr>
          <w:color w:val="auto"/>
        </w:rPr>
      </w:pPr>
      <w:r>
        <w:rPr>
          <w:rFonts w:hint="eastAsia"/>
          <w:color w:val="auto"/>
        </w:rPr>
        <w:t>附件3排污许可登记回执</w:t>
      </w:r>
    </w:p>
    <w:p>
      <w:pPr>
        <w:ind w:left="960" w:leftChars="200" w:hanging="480" w:hangingChars="200"/>
        <w:rPr>
          <w:rFonts w:cs="Times New Roman"/>
          <w:color w:val="auto"/>
        </w:rPr>
      </w:pPr>
      <w:r>
        <w:rPr>
          <w:rFonts w:cs="Times New Roman"/>
          <w:color w:val="auto"/>
        </w:rPr>
        <w:t>附件4</w:t>
      </w:r>
      <w:r>
        <w:rPr>
          <w:rFonts w:hint="eastAsia" w:cs="Times New Roman"/>
          <w:color w:val="auto"/>
        </w:rPr>
        <w:t>公司用水情况</w:t>
      </w:r>
    </w:p>
    <w:p>
      <w:pPr>
        <w:ind w:left="960" w:leftChars="200" w:hanging="480" w:hangingChars="200"/>
        <w:rPr>
          <w:rFonts w:cs="Times New Roman"/>
          <w:color w:val="auto"/>
        </w:rPr>
      </w:pPr>
      <w:r>
        <w:rPr>
          <w:rFonts w:cs="Times New Roman"/>
          <w:color w:val="auto"/>
        </w:rPr>
        <w:t>附件5</w:t>
      </w:r>
      <w:r>
        <w:rPr>
          <w:rFonts w:hint="eastAsia" w:cs="Times New Roman"/>
          <w:color w:val="auto"/>
        </w:rPr>
        <w:t>检测报告</w:t>
      </w:r>
    </w:p>
    <w:p>
      <w:pPr>
        <w:ind w:left="960" w:leftChars="200" w:hanging="480" w:hangingChars="200"/>
        <w:rPr>
          <w:rFonts w:cs="Times New Roman"/>
          <w:color w:val="auto"/>
        </w:rPr>
      </w:pPr>
      <w:r>
        <w:rPr>
          <w:rFonts w:hint="eastAsia" w:cs="Times New Roman"/>
          <w:color w:val="auto"/>
        </w:rPr>
        <w:t>附件6生产日报表</w:t>
      </w:r>
    </w:p>
    <w:p>
      <w:pPr>
        <w:ind w:left="960" w:leftChars="200" w:hanging="480" w:hangingChars="200"/>
        <w:rPr>
          <w:rFonts w:cs="Times New Roman"/>
          <w:color w:val="auto"/>
        </w:rPr>
      </w:pPr>
      <w:r>
        <w:rPr>
          <w:rFonts w:hint="eastAsia" w:cs="Times New Roman"/>
          <w:color w:val="auto"/>
        </w:rPr>
        <w:t>附件</w:t>
      </w:r>
      <w:r>
        <w:rPr>
          <w:rFonts w:cs="Times New Roman"/>
          <w:color w:val="auto"/>
        </w:rPr>
        <w:t>7</w:t>
      </w:r>
      <w:r>
        <w:rPr>
          <w:rFonts w:hint="eastAsia" w:cs="Times New Roman"/>
          <w:color w:val="auto"/>
        </w:rPr>
        <w:t>生产设备一览表</w:t>
      </w:r>
    </w:p>
    <w:p>
      <w:pPr>
        <w:ind w:left="960" w:leftChars="200" w:hanging="480" w:hangingChars="200"/>
        <w:rPr>
          <w:rFonts w:cs="Times New Roman"/>
          <w:color w:val="auto"/>
        </w:rPr>
      </w:pPr>
      <w:r>
        <w:rPr>
          <w:rFonts w:hint="eastAsia" w:cs="Times New Roman"/>
          <w:color w:val="auto"/>
        </w:rPr>
        <w:t>附件</w:t>
      </w:r>
      <w:r>
        <w:rPr>
          <w:rFonts w:cs="Times New Roman"/>
          <w:color w:val="auto"/>
        </w:rPr>
        <w:t>8</w:t>
      </w:r>
      <w:r>
        <w:rPr>
          <w:rFonts w:hint="eastAsia" w:cs="Times New Roman"/>
          <w:color w:val="auto"/>
        </w:rPr>
        <w:t>原辅材料消耗统计表</w:t>
      </w:r>
    </w:p>
    <w:p>
      <w:pPr>
        <w:ind w:firstLine="480"/>
        <w:rPr>
          <w:color w:val="auto"/>
        </w:rPr>
      </w:pPr>
      <w:r>
        <w:rPr>
          <w:rFonts w:hint="eastAsia"/>
          <w:color w:val="auto"/>
        </w:rPr>
        <w:t>附件</w:t>
      </w:r>
      <w:r>
        <w:rPr>
          <w:color w:val="auto"/>
        </w:rPr>
        <w:t>9</w:t>
      </w:r>
      <w:r>
        <w:rPr>
          <w:rFonts w:hint="eastAsia"/>
          <w:color w:val="auto"/>
        </w:rPr>
        <w:t>环境管理规章制度</w:t>
      </w:r>
    </w:p>
    <w:p>
      <w:pPr>
        <w:ind w:firstLine="480"/>
        <w:rPr>
          <w:color w:val="auto"/>
        </w:rPr>
      </w:pPr>
    </w:p>
    <w:p>
      <w:pPr>
        <w:pStyle w:val="4"/>
        <w:numPr>
          <w:ilvl w:val="0"/>
          <w:numId w:val="1"/>
        </w:numPr>
        <w:rPr>
          <w:rFonts w:cs="Times New Roman"/>
          <w:color w:val="auto"/>
          <w:sz w:val="24"/>
          <w:szCs w:val="24"/>
        </w:rPr>
        <w:sectPr>
          <w:headerReference r:id="rId18" w:type="first"/>
          <w:footerReference r:id="rId20" w:type="first"/>
          <w:footerReference r:id="rId19" w:type="default"/>
          <w:pgSz w:w="11906" w:h="16838"/>
          <w:pgMar w:top="1418" w:right="1701" w:bottom="1418" w:left="1701" w:header="851" w:footer="992" w:gutter="0"/>
          <w:pgNumType w:fmt="upperRoman" w:start="1"/>
          <w:cols w:space="425" w:num="1"/>
          <w:titlePg/>
          <w:docGrid w:type="lines" w:linePitch="312" w:charSpace="0"/>
        </w:sectPr>
      </w:pPr>
      <w:bookmarkStart w:id="1" w:name="_Toc515273902"/>
    </w:p>
    <w:bookmarkEnd w:id="1"/>
    <w:p>
      <w:pPr>
        <w:pStyle w:val="4"/>
        <w:rPr>
          <w:color w:val="auto"/>
        </w:rPr>
      </w:pPr>
      <w:bookmarkStart w:id="2" w:name="_Toc61958985"/>
      <w:bookmarkStart w:id="3" w:name="_Toc61958986"/>
      <w:r>
        <w:rPr>
          <w:rFonts w:hint="eastAsia"/>
          <w:color w:val="auto"/>
        </w:rPr>
        <w:t>1</w:t>
      </w:r>
      <w:r>
        <w:rPr>
          <w:color w:val="auto"/>
        </w:rPr>
        <w:t>验收项目概况</w:t>
      </w:r>
      <w:bookmarkEnd w:id="2"/>
    </w:p>
    <w:p>
      <w:pPr>
        <w:ind w:firstLine="480"/>
        <w:rPr>
          <w:color w:val="auto"/>
        </w:rPr>
      </w:pPr>
      <w:bookmarkStart w:id="4" w:name="_Hlk68174410"/>
      <w:r>
        <w:rPr>
          <w:rFonts w:hint="eastAsia" w:cs="Times New Roman"/>
          <w:color w:val="auto"/>
        </w:rPr>
        <w:t>桐乡市鸿尔纺织有限公司成立于2</w:t>
      </w:r>
      <w:r>
        <w:rPr>
          <w:rFonts w:cs="Times New Roman"/>
          <w:color w:val="auto"/>
        </w:rPr>
        <w:t>0</w:t>
      </w:r>
      <w:r>
        <w:rPr>
          <w:rFonts w:hint="eastAsia" w:cs="Times New Roman"/>
          <w:color w:val="auto"/>
        </w:rPr>
        <w:t>14年3月，</w:t>
      </w:r>
      <w:r>
        <w:rPr>
          <w:rFonts w:hint="eastAsia"/>
          <w:color w:val="auto"/>
        </w:rPr>
        <w:t>公司位于</w:t>
      </w:r>
      <w:r>
        <w:rPr>
          <w:rFonts w:hint="eastAsia"/>
          <w:bCs/>
          <w:color w:val="auto"/>
        </w:rPr>
        <w:t>桐乡市梧桐街道环城北路198号</w:t>
      </w:r>
      <w:r>
        <w:rPr>
          <w:rFonts w:hint="eastAsia"/>
          <w:color w:val="auto"/>
        </w:rPr>
        <w:t>，现有占地面积18544.07平方米，主要从事高档粗纺羊绒纱的生产销售。</w:t>
      </w:r>
    </w:p>
    <w:p>
      <w:pPr>
        <w:pStyle w:val="8"/>
        <w:ind w:firstLine="480"/>
        <w:rPr>
          <w:rFonts w:cs="Times New Roman"/>
          <w:color w:val="auto"/>
        </w:rPr>
      </w:pPr>
      <w:r>
        <w:rPr>
          <w:rFonts w:hint="eastAsia" w:cs="Times New Roman"/>
          <w:color w:val="auto"/>
        </w:rPr>
        <w:t>2015年企业计划投资5580万元，</w:t>
      </w:r>
      <w:r>
        <w:rPr>
          <w:rFonts w:hint="eastAsia"/>
          <w:color w:val="auto"/>
        </w:rPr>
        <w:t>利用</w:t>
      </w:r>
      <w:r>
        <w:rPr>
          <w:color w:val="auto"/>
        </w:rPr>
        <w:t>厂区内</w:t>
      </w:r>
      <w:r>
        <w:rPr>
          <w:rFonts w:hint="eastAsia"/>
          <w:color w:val="auto"/>
        </w:rPr>
        <w:t>空置</w:t>
      </w:r>
      <w:r>
        <w:rPr>
          <w:color w:val="auto"/>
        </w:rPr>
        <w:t>工业用地，新建建筑面积</w:t>
      </w:r>
      <w:r>
        <w:rPr>
          <w:rFonts w:hint="eastAsia"/>
          <w:color w:val="auto"/>
        </w:rPr>
        <w:t>11644.56平方米</w:t>
      </w:r>
      <w:r>
        <w:rPr>
          <w:color w:val="auto"/>
        </w:rPr>
        <w:t>，同时利用厂区内现有已建厂房</w:t>
      </w:r>
      <w:r>
        <w:rPr>
          <w:rFonts w:hint="eastAsia"/>
          <w:color w:val="auto"/>
        </w:rPr>
        <w:t>11955.56平方米</w:t>
      </w:r>
      <w:r>
        <w:rPr>
          <w:color w:val="auto"/>
        </w:rPr>
        <w:t>，</w:t>
      </w:r>
      <w:r>
        <w:rPr>
          <w:rFonts w:hint="eastAsia"/>
          <w:color w:val="auto"/>
        </w:rPr>
        <w:t>购置梳毛机8台、走架机7台、络筒机2台、槽筒机1台、并线机2台、倍捻机3台、和毛机2台、倒毛机1台、和毛油水机1台、空压机2台、</w:t>
      </w:r>
      <w:r>
        <w:rPr>
          <w:rFonts w:hint="eastAsia" w:eastAsia="宋体" w:cs="Times New Roman"/>
          <w:color w:val="auto"/>
        </w:rPr>
        <w:t>加湿器1台、检测设备1套、箱式变电站1个</w:t>
      </w:r>
      <w:r>
        <w:rPr>
          <w:color w:val="auto"/>
        </w:rPr>
        <w:t>等设备</w:t>
      </w:r>
      <w:r>
        <w:rPr>
          <w:rFonts w:hint="eastAsia" w:cs="Times New Roman"/>
          <w:color w:val="auto"/>
        </w:rPr>
        <w:t>，实施年产600吨高档粗纺羊绒纱项目。该项目企业于2</w:t>
      </w:r>
      <w:r>
        <w:rPr>
          <w:rFonts w:cs="Times New Roman"/>
          <w:color w:val="auto"/>
        </w:rPr>
        <w:t>01</w:t>
      </w:r>
      <w:r>
        <w:rPr>
          <w:rFonts w:hint="eastAsia" w:cs="Times New Roman"/>
          <w:color w:val="auto"/>
        </w:rPr>
        <w:t>5年8月委托浙江环科环境咨询有限公司编制了《桐乡市鸿尔纺织有限公司年产600吨高档粗纺羊绒纱项目环境影响报告表》，原桐乡市环境保护局于2</w:t>
      </w:r>
      <w:r>
        <w:rPr>
          <w:rFonts w:cs="Times New Roman"/>
          <w:color w:val="auto"/>
        </w:rPr>
        <w:t>01</w:t>
      </w:r>
      <w:r>
        <w:rPr>
          <w:rFonts w:hint="eastAsia" w:cs="Times New Roman"/>
          <w:color w:val="auto"/>
        </w:rPr>
        <w:t>5年9月21日以“桐环建[</w:t>
      </w:r>
      <w:r>
        <w:rPr>
          <w:rFonts w:cs="Times New Roman"/>
          <w:color w:val="auto"/>
        </w:rPr>
        <w:t>201</w:t>
      </w:r>
      <w:r>
        <w:rPr>
          <w:rFonts w:hint="eastAsia" w:cs="Times New Roman"/>
          <w:color w:val="auto"/>
        </w:rPr>
        <w:t>5</w:t>
      </w:r>
      <w:r>
        <w:rPr>
          <w:rFonts w:cs="Times New Roman"/>
          <w:color w:val="auto"/>
        </w:rPr>
        <w:t>]2</w:t>
      </w:r>
      <w:r>
        <w:rPr>
          <w:rFonts w:hint="eastAsia" w:cs="Times New Roman"/>
          <w:color w:val="auto"/>
        </w:rPr>
        <w:t>52号”通过该项目环保备案。</w:t>
      </w:r>
    </w:p>
    <w:bookmarkEnd w:id="4"/>
    <w:p>
      <w:pPr>
        <w:ind w:firstLine="480"/>
        <w:rPr>
          <w:color w:val="auto"/>
        </w:rPr>
      </w:pPr>
      <w:bookmarkStart w:id="5" w:name="_Hlk82000667"/>
      <w:r>
        <w:rPr>
          <w:rFonts w:hint="eastAsia"/>
          <w:color w:val="auto"/>
        </w:rPr>
        <w:t>本项目实际投资</w:t>
      </w:r>
      <w:r>
        <w:rPr>
          <w:rFonts w:hint="eastAsia"/>
          <w:color w:val="auto"/>
          <w:lang w:eastAsia="zh-CN"/>
        </w:rPr>
        <w:t>3800</w:t>
      </w:r>
      <w:r>
        <w:rPr>
          <w:rFonts w:hint="eastAsia"/>
          <w:color w:val="auto"/>
        </w:rPr>
        <w:t>万元，其中环保投资37万元，环保投资占比为</w:t>
      </w:r>
      <w:r>
        <w:rPr>
          <w:rFonts w:hint="eastAsia"/>
          <w:color w:val="auto"/>
          <w:lang w:eastAsia="zh-CN"/>
        </w:rPr>
        <w:t>0.97%</w:t>
      </w:r>
      <w:r>
        <w:rPr>
          <w:rFonts w:hint="eastAsia"/>
          <w:color w:val="auto"/>
        </w:rPr>
        <w:t>，利用厂区内现有厂房11955.56平方米</w:t>
      </w:r>
      <w:r>
        <w:rPr>
          <w:rFonts w:hint="eastAsia"/>
          <w:color w:val="auto"/>
          <w:lang w:eastAsia="zh-CN"/>
        </w:rPr>
        <w:t>，</w:t>
      </w:r>
      <w:r>
        <w:rPr>
          <w:rFonts w:hint="eastAsia"/>
          <w:color w:val="auto"/>
        </w:rPr>
        <w:t>购置</w:t>
      </w:r>
      <w:r>
        <w:rPr>
          <w:rFonts w:hint="eastAsia" w:eastAsia="宋体" w:cs="Times New Roman"/>
          <w:color w:val="auto"/>
        </w:rPr>
        <w:t>梳毛机6台、走架机6台、络筒机1台、并线机2台、槽筒机1台、倍捻机2台、和毛机3台、开松机2台、倒毛机1、和毛油水机2台、空压机1台、加湿器1台、检测设备1套、箱式变电站1个等设备</w:t>
      </w:r>
      <w:r>
        <w:rPr>
          <w:rFonts w:hint="eastAsia"/>
          <w:color w:val="auto"/>
        </w:rPr>
        <w:t>，</w:t>
      </w:r>
      <w:bookmarkStart w:id="6" w:name="_Hlk68175918"/>
      <w:r>
        <w:rPr>
          <w:rFonts w:hint="eastAsia"/>
          <w:color w:val="auto"/>
        </w:rPr>
        <w:t>目前已形成年产600吨高档</w:t>
      </w:r>
      <w:r>
        <w:rPr>
          <w:rFonts w:hint="eastAsia"/>
          <w:color w:val="auto"/>
          <w:lang w:eastAsia="zh-CN"/>
        </w:rPr>
        <w:t>粗纺</w:t>
      </w:r>
      <w:r>
        <w:rPr>
          <w:rFonts w:hint="eastAsia"/>
          <w:color w:val="auto"/>
        </w:rPr>
        <w:t>羊绒纱的生产能力。</w:t>
      </w:r>
      <w:bookmarkEnd w:id="6"/>
    </w:p>
    <w:p>
      <w:pPr>
        <w:ind w:firstLine="480"/>
        <w:rPr>
          <w:rFonts w:cs="Times New Roman"/>
          <w:color w:val="auto"/>
        </w:rPr>
      </w:pPr>
      <w:bookmarkStart w:id="7" w:name="_Hlk68175976"/>
      <w:r>
        <w:rPr>
          <w:rFonts w:hint="eastAsia"/>
          <w:color w:val="auto"/>
        </w:rPr>
        <w:t>本项目开工时间为20</w:t>
      </w:r>
      <w:r>
        <w:rPr>
          <w:color w:val="auto"/>
        </w:rPr>
        <w:t>1</w:t>
      </w:r>
      <w:r>
        <w:rPr>
          <w:rFonts w:hint="eastAsia"/>
          <w:color w:val="auto"/>
        </w:rPr>
        <w:t>7年3月，于</w:t>
      </w:r>
      <w:bookmarkStart w:id="8" w:name="_Hlk68174821"/>
      <w:r>
        <w:rPr>
          <w:rFonts w:cs="Times New Roman"/>
          <w:color w:val="auto"/>
        </w:rPr>
        <w:t>20</w:t>
      </w:r>
      <w:r>
        <w:rPr>
          <w:rFonts w:hint="eastAsia" w:cs="Times New Roman"/>
          <w:color w:val="auto"/>
        </w:rPr>
        <w:t>21</w:t>
      </w:r>
      <w:r>
        <w:rPr>
          <w:rFonts w:cs="Times New Roman"/>
          <w:color w:val="auto"/>
        </w:rPr>
        <w:t>年</w:t>
      </w:r>
      <w:r>
        <w:rPr>
          <w:rFonts w:hint="eastAsia" w:cs="Times New Roman"/>
          <w:color w:val="auto"/>
        </w:rPr>
        <w:t>9</w:t>
      </w:r>
      <w:r>
        <w:rPr>
          <w:rFonts w:cs="Times New Roman"/>
          <w:color w:val="auto"/>
        </w:rPr>
        <w:t>月</w:t>
      </w:r>
      <w:r>
        <w:rPr>
          <w:color w:val="auto"/>
        </w:rPr>
        <w:t>完成对主体工程及配套环保设备工程的建设</w:t>
      </w:r>
      <w:r>
        <w:rPr>
          <w:rFonts w:hint="eastAsia"/>
          <w:color w:val="auto"/>
        </w:rPr>
        <w:t>并投入试运行</w:t>
      </w:r>
      <w:bookmarkEnd w:id="8"/>
      <w:r>
        <w:rPr>
          <w:color w:val="auto"/>
        </w:rPr>
        <w:t>，</w:t>
      </w:r>
      <w:r>
        <w:rPr>
          <w:rFonts w:hint="eastAsia"/>
          <w:color w:val="auto"/>
        </w:rPr>
        <w:t>于</w:t>
      </w:r>
      <w:r>
        <w:rPr>
          <w:color w:val="auto"/>
        </w:rPr>
        <w:t>20</w:t>
      </w:r>
      <w:r>
        <w:rPr>
          <w:rFonts w:hint="eastAsia"/>
          <w:color w:val="auto"/>
        </w:rPr>
        <w:t>21</w:t>
      </w:r>
      <w:r>
        <w:rPr>
          <w:color w:val="auto"/>
        </w:rPr>
        <w:t>年</w:t>
      </w:r>
      <w:r>
        <w:rPr>
          <w:rFonts w:hint="eastAsia"/>
          <w:color w:val="auto"/>
        </w:rPr>
        <w:t>10</w:t>
      </w:r>
      <w:r>
        <w:rPr>
          <w:color w:val="auto"/>
        </w:rPr>
        <w:t>月</w:t>
      </w:r>
      <w:bookmarkStart w:id="9" w:name="_Hlk68174545"/>
      <w:r>
        <w:rPr>
          <w:color w:val="auto"/>
        </w:rPr>
        <w:t>正式投入运行并达到相应生产工况</w:t>
      </w:r>
      <w:r>
        <w:rPr>
          <w:rFonts w:hint="eastAsia"/>
          <w:color w:val="auto"/>
        </w:rPr>
        <w:t>，</w:t>
      </w:r>
      <w:r>
        <w:rPr>
          <w:rFonts w:hint="eastAsia" w:cs="Times New Roman"/>
          <w:color w:val="auto"/>
        </w:rPr>
        <w:t>环保手续齐全，</w:t>
      </w:r>
      <w:r>
        <w:rPr>
          <w:color w:val="auto"/>
        </w:rPr>
        <w:t>主要生产设施和环保设施运行正常，</w:t>
      </w:r>
      <w:r>
        <w:rPr>
          <w:rFonts w:hint="eastAsia" w:cs="Times New Roman"/>
          <w:color w:val="auto"/>
        </w:rPr>
        <w:t>无重大变动，</w:t>
      </w:r>
      <w:r>
        <w:rPr>
          <w:color w:val="auto"/>
        </w:rPr>
        <w:t>已具备</w:t>
      </w:r>
      <w:r>
        <w:rPr>
          <w:rFonts w:hint="eastAsia"/>
          <w:color w:val="auto"/>
        </w:rPr>
        <w:t>环境保护</w:t>
      </w:r>
      <w:r>
        <w:rPr>
          <w:color w:val="auto"/>
        </w:rPr>
        <w:t>竣工验收条件</w:t>
      </w:r>
      <w:r>
        <w:rPr>
          <w:rFonts w:hint="eastAsia"/>
          <w:color w:val="auto"/>
        </w:rPr>
        <w:t>，</w:t>
      </w:r>
      <w:r>
        <w:rPr>
          <w:rFonts w:hint="eastAsia" w:cs="Times New Roman"/>
          <w:color w:val="auto"/>
        </w:rPr>
        <w:t>故公司决定启动建设项目环境保护整体竣工验收工作。</w:t>
      </w:r>
      <w:bookmarkEnd w:id="9"/>
    </w:p>
    <w:bookmarkEnd w:id="7"/>
    <w:p>
      <w:pPr>
        <w:ind w:firstLine="480"/>
        <w:rPr>
          <w:color w:val="auto"/>
        </w:rPr>
      </w:pPr>
      <w:r>
        <w:rPr>
          <w:rFonts w:cs="Times New Roman"/>
          <w:color w:val="auto"/>
        </w:rPr>
        <w:t>根据《建设项目竣工环境保护验收暂行办法》</w:t>
      </w:r>
      <w:r>
        <w:rPr>
          <w:rFonts w:hint="eastAsia" w:cs="Times New Roman"/>
          <w:color w:val="auto"/>
        </w:rPr>
        <w:t>（国环规环评[2017]4号）</w:t>
      </w:r>
      <w:r>
        <w:rPr>
          <w:rFonts w:cs="Times New Roman"/>
          <w:color w:val="auto"/>
        </w:rPr>
        <w:t>和</w:t>
      </w:r>
      <w:r>
        <w:rPr>
          <w:rFonts w:hint="eastAsia"/>
          <w:bCs/>
          <w:color w:val="auto"/>
        </w:rPr>
        <w:t>《浙江省建设项目环境保</w:t>
      </w:r>
      <w:r>
        <w:rPr>
          <w:rFonts w:hint="eastAsia" w:cs="Times New Roman"/>
          <w:color w:val="auto"/>
        </w:rPr>
        <w:t>护管理办法（2</w:t>
      </w:r>
      <w:r>
        <w:rPr>
          <w:rFonts w:cs="Times New Roman"/>
          <w:color w:val="auto"/>
        </w:rPr>
        <w:t>021</w:t>
      </w:r>
      <w:r>
        <w:rPr>
          <w:rFonts w:hint="eastAsia" w:cs="Times New Roman"/>
          <w:color w:val="auto"/>
        </w:rPr>
        <w:t>年修正）》</w:t>
      </w:r>
      <w:r>
        <w:rPr>
          <w:rFonts w:cs="Times New Roman"/>
          <w:color w:val="auto"/>
        </w:rPr>
        <w:t>，我</w:t>
      </w:r>
      <w:r>
        <w:rPr>
          <w:rFonts w:hint="eastAsia" w:cs="Times New Roman"/>
          <w:color w:val="auto"/>
        </w:rPr>
        <w:t>公司</w:t>
      </w:r>
      <w:r>
        <w:rPr>
          <w:rFonts w:cs="Times New Roman"/>
          <w:color w:val="auto"/>
        </w:rPr>
        <w:t>分别于20</w:t>
      </w:r>
      <w:r>
        <w:rPr>
          <w:rFonts w:hint="eastAsia" w:cs="Times New Roman"/>
          <w:color w:val="auto"/>
        </w:rPr>
        <w:t>2</w:t>
      </w:r>
      <w:r>
        <w:rPr>
          <w:rFonts w:cs="Times New Roman"/>
          <w:color w:val="auto"/>
        </w:rPr>
        <w:t>1年</w:t>
      </w:r>
      <w:r>
        <w:rPr>
          <w:rFonts w:hint="eastAsia" w:cs="Times New Roman"/>
          <w:color w:val="auto"/>
        </w:rPr>
        <w:t>11月24日、11月25日、2022年3月3日、3月4日</w:t>
      </w:r>
      <w:r>
        <w:rPr>
          <w:rFonts w:cs="Times New Roman"/>
          <w:color w:val="auto"/>
        </w:rPr>
        <w:t>委托</w:t>
      </w:r>
      <w:r>
        <w:rPr>
          <w:rFonts w:hint="eastAsia" w:cs="Times New Roman"/>
          <w:color w:val="auto"/>
        </w:rPr>
        <w:t>浙江华维检测技术服务有限公司</w:t>
      </w:r>
      <w:r>
        <w:rPr>
          <w:rFonts w:cs="Times New Roman"/>
          <w:color w:val="auto"/>
        </w:rPr>
        <w:t>对本项目</w:t>
      </w:r>
      <w:r>
        <w:rPr>
          <w:rFonts w:hint="eastAsia" w:cs="Times New Roman"/>
          <w:color w:val="auto"/>
        </w:rPr>
        <w:t>废水、</w:t>
      </w:r>
      <w:r>
        <w:rPr>
          <w:rFonts w:cs="Times New Roman"/>
          <w:color w:val="auto"/>
        </w:rPr>
        <w:t>废气</w:t>
      </w:r>
      <w:r>
        <w:rPr>
          <w:rFonts w:hint="eastAsia" w:cs="Times New Roman"/>
          <w:color w:val="auto"/>
        </w:rPr>
        <w:t>、噪声进行现场验收监测</w:t>
      </w:r>
      <w:r>
        <w:rPr>
          <w:rFonts w:cs="Times New Roman"/>
          <w:color w:val="auto"/>
        </w:rPr>
        <w:t>。另外，</w:t>
      </w:r>
      <w:r>
        <w:rPr>
          <w:rFonts w:hint="eastAsia" w:cs="Times New Roman"/>
          <w:color w:val="auto"/>
        </w:rPr>
        <w:t>我公司</w:t>
      </w:r>
      <w:r>
        <w:rPr>
          <w:rFonts w:cs="Times New Roman"/>
          <w:color w:val="auto"/>
        </w:rPr>
        <w:t>对该项目</w:t>
      </w:r>
      <w:r>
        <w:rPr>
          <w:rFonts w:ascii="宋体" w:hAnsi="宋体" w:eastAsia="宋体" w:cs="Times New Roman"/>
          <w:color w:val="auto"/>
        </w:rPr>
        <w:t>“三同时”</w:t>
      </w:r>
      <w:r>
        <w:rPr>
          <w:rFonts w:cs="Times New Roman"/>
          <w:color w:val="auto"/>
        </w:rPr>
        <w:t>执行情况、环境保护设施建设、环境保护管理、绿化等方面进行了检查，在综合分析现场监测数据和相关资料的基础上，编写了《</w:t>
      </w:r>
      <w:r>
        <w:rPr>
          <w:rFonts w:hint="eastAsia" w:cs="Times New Roman"/>
          <w:color w:val="auto"/>
        </w:rPr>
        <w:t>桐乡市鸿尔纺织有限公司年产600吨高档粗纺羊绒纱项目</w:t>
      </w:r>
      <w:r>
        <w:rPr>
          <w:rFonts w:cs="Times New Roman"/>
          <w:color w:val="auto"/>
        </w:rPr>
        <w:t>竣工环境保护验收监测报告》。</w:t>
      </w:r>
      <w:bookmarkEnd w:id="5"/>
    </w:p>
    <w:p>
      <w:pPr>
        <w:pStyle w:val="2"/>
        <w:ind w:left="480" w:firstLine="480"/>
        <w:rPr>
          <w:color w:val="auto"/>
        </w:rPr>
        <w:sectPr>
          <w:headerReference r:id="rId21" w:type="first"/>
          <w:footerReference r:id="rId22" w:type="first"/>
          <w:pgSz w:w="11906" w:h="16838"/>
          <w:pgMar w:top="1418" w:right="1701" w:bottom="1418" w:left="1701" w:header="851" w:footer="992" w:gutter="0"/>
          <w:pgNumType w:fmt="numberInDash" w:start="1"/>
          <w:cols w:space="425" w:num="1"/>
          <w:titlePg/>
          <w:docGrid w:type="lines" w:linePitch="312" w:charSpace="0"/>
        </w:sectPr>
      </w:pPr>
    </w:p>
    <w:p>
      <w:pPr>
        <w:pStyle w:val="4"/>
        <w:rPr>
          <w:color w:val="auto"/>
        </w:rPr>
      </w:pPr>
      <w:r>
        <w:rPr>
          <w:rFonts w:hint="eastAsia"/>
          <w:color w:val="auto"/>
        </w:rPr>
        <w:t>2</w:t>
      </w:r>
      <w:r>
        <w:rPr>
          <w:color w:val="auto"/>
        </w:rPr>
        <w:t>验收依据</w:t>
      </w:r>
      <w:bookmarkEnd w:id="3"/>
    </w:p>
    <w:p>
      <w:pPr>
        <w:ind w:firstLine="480"/>
        <w:rPr>
          <w:color w:val="auto"/>
        </w:rPr>
      </w:pPr>
      <w:r>
        <w:rPr>
          <w:rFonts w:hint="eastAsia"/>
          <w:color w:val="auto"/>
        </w:rPr>
        <w:t>1、</w:t>
      </w:r>
      <w:r>
        <w:rPr>
          <w:color w:val="auto"/>
        </w:rPr>
        <w:t>《中华人民共和国环境保护法》</w:t>
      </w:r>
      <w:r>
        <w:rPr>
          <w:color w:val="auto"/>
          <w:lang w:val="zh-CN"/>
        </w:rPr>
        <w:t>（2015年1月1日</w:t>
      </w:r>
      <w:r>
        <w:rPr>
          <w:rFonts w:hint="eastAsia"/>
          <w:color w:val="auto"/>
          <w:lang w:val="zh-CN"/>
        </w:rPr>
        <w:t>起施行</w:t>
      </w:r>
      <w:r>
        <w:rPr>
          <w:color w:val="auto"/>
          <w:lang w:val="zh-CN"/>
        </w:rPr>
        <w:t>）；</w:t>
      </w:r>
    </w:p>
    <w:p>
      <w:pPr>
        <w:ind w:firstLine="480"/>
        <w:rPr>
          <w:color w:val="auto"/>
          <w:lang w:val="zh-CN"/>
        </w:rPr>
      </w:pPr>
      <w:r>
        <w:rPr>
          <w:color w:val="auto"/>
        </w:rPr>
        <w:t>2</w:t>
      </w:r>
      <w:r>
        <w:rPr>
          <w:rFonts w:hint="eastAsia"/>
          <w:color w:val="auto"/>
        </w:rPr>
        <w:t>、</w:t>
      </w:r>
      <w:r>
        <w:rPr>
          <w:color w:val="auto"/>
          <w:lang w:val="zh-CN"/>
        </w:rPr>
        <w:t>《中华人民共和国大气污染防治法》（2018年10月26日</w:t>
      </w:r>
      <w:r>
        <w:rPr>
          <w:rFonts w:hint="eastAsia"/>
          <w:color w:val="auto"/>
        </w:rPr>
        <w:t>修订并</w:t>
      </w:r>
      <w:r>
        <w:rPr>
          <w:color w:val="auto"/>
          <w:lang w:val="zh-CN"/>
        </w:rPr>
        <w:t>施行）；</w:t>
      </w:r>
    </w:p>
    <w:p>
      <w:pPr>
        <w:ind w:firstLine="480"/>
        <w:rPr>
          <w:color w:val="auto"/>
          <w:lang w:val="zh-CN"/>
        </w:rPr>
      </w:pPr>
      <w:r>
        <w:rPr>
          <w:rFonts w:hint="eastAsia"/>
          <w:color w:val="auto"/>
          <w:lang w:val="zh-CN"/>
        </w:rPr>
        <w:t>3、</w:t>
      </w:r>
      <w:r>
        <w:rPr>
          <w:color w:val="auto"/>
          <w:lang w:val="zh-CN"/>
        </w:rPr>
        <w:t>《中华人民共和国水污染防治法》（2018年1月1日起施行）；</w:t>
      </w:r>
    </w:p>
    <w:p>
      <w:pPr>
        <w:ind w:firstLine="480"/>
        <w:rPr>
          <w:color w:val="auto"/>
        </w:rPr>
      </w:pPr>
      <w:r>
        <w:rPr>
          <w:rFonts w:hint="eastAsia"/>
          <w:color w:val="auto"/>
          <w:lang w:val="zh-CN"/>
        </w:rPr>
        <w:t>4、</w:t>
      </w:r>
      <w:r>
        <w:rPr>
          <w:color w:val="auto"/>
          <w:lang w:val="zh-CN"/>
        </w:rPr>
        <w:t>《</w:t>
      </w:r>
      <w:r>
        <w:rPr>
          <w:rFonts w:hint="eastAsia"/>
          <w:color w:val="auto"/>
          <w:lang w:val="zh-CN"/>
        </w:rPr>
        <w:t>中华人民共和国噪声污染防治法</w:t>
      </w:r>
      <w:r>
        <w:rPr>
          <w:color w:val="auto"/>
          <w:lang w:val="zh-CN"/>
        </w:rPr>
        <w:t>》（</w:t>
      </w:r>
      <w:r>
        <w:rPr>
          <w:color w:val="auto"/>
        </w:rPr>
        <w:t>2021年12月24日通过，自2022年6月5日起施行</w:t>
      </w:r>
      <w:r>
        <w:rPr>
          <w:color w:val="auto"/>
          <w:lang w:val="zh-CN"/>
        </w:rPr>
        <w:t>）；</w:t>
      </w:r>
    </w:p>
    <w:p>
      <w:pPr>
        <w:ind w:firstLine="480"/>
        <w:rPr>
          <w:color w:val="auto"/>
          <w:lang w:val="zh-CN"/>
        </w:rPr>
      </w:pPr>
      <w:r>
        <w:rPr>
          <w:rFonts w:hint="eastAsia"/>
          <w:color w:val="auto"/>
        </w:rPr>
        <w:t>5、</w:t>
      </w:r>
      <w:r>
        <w:rPr>
          <w:color w:val="auto"/>
        </w:rPr>
        <w:t>《中华人民共和国固体废物污染环境防治法》（20</w:t>
      </w:r>
      <w:r>
        <w:rPr>
          <w:rFonts w:hint="eastAsia"/>
          <w:color w:val="auto"/>
        </w:rPr>
        <w:t>20</w:t>
      </w:r>
      <w:r>
        <w:rPr>
          <w:color w:val="auto"/>
          <w:lang w:val="zh-CN"/>
        </w:rPr>
        <w:t>年</w:t>
      </w:r>
      <w:r>
        <w:rPr>
          <w:rFonts w:hint="eastAsia"/>
          <w:color w:val="auto"/>
        </w:rPr>
        <w:t>9</w:t>
      </w:r>
      <w:r>
        <w:rPr>
          <w:color w:val="auto"/>
          <w:lang w:val="zh-CN"/>
        </w:rPr>
        <w:t>月</w:t>
      </w:r>
      <w:r>
        <w:rPr>
          <w:rFonts w:hint="eastAsia"/>
          <w:color w:val="auto"/>
        </w:rPr>
        <w:t>1</w:t>
      </w:r>
      <w:r>
        <w:rPr>
          <w:color w:val="auto"/>
          <w:lang w:val="zh-CN"/>
        </w:rPr>
        <w:t>日</w:t>
      </w:r>
      <w:r>
        <w:rPr>
          <w:color w:val="auto"/>
        </w:rPr>
        <w:t>起施行）</w:t>
      </w:r>
      <w:r>
        <w:rPr>
          <w:rFonts w:hint="eastAsia"/>
          <w:color w:val="auto"/>
        </w:rPr>
        <w:t>；</w:t>
      </w:r>
    </w:p>
    <w:p>
      <w:pPr>
        <w:ind w:firstLine="480"/>
        <w:rPr>
          <w:rFonts w:cs="Times New Roman"/>
          <w:color w:val="auto"/>
        </w:rPr>
      </w:pPr>
      <w:r>
        <w:rPr>
          <w:rFonts w:hint="eastAsia" w:cs="Times New Roman"/>
          <w:color w:val="auto"/>
        </w:rPr>
        <w:t>6、</w:t>
      </w:r>
      <w:r>
        <w:rPr>
          <w:rFonts w:cs="Times New Roman"/>
          <w:color w:val="auto"/>
        </w:rPr>
        <w:t>《建设项目环境保护管理条例》（国务院令第682号修改</w:t>
      </w:r>
      <w:r>
        <w:rPr>
          <w:rFonts w:hint="eastAsia" w:cs="Times New Roman"/>
          <w:color w:val="auto"/>
        </w:rPr>
        <w:t>，2</w:t>
      </w:r>
      <w:r>
        <w:rPr>
          <w:rFonts w:cs="Times New Roman"/>
          <w:color w:val="auto"/>
        </w:rPr>
        <w:t>017</w:t>
      </w:r>
      <w:r>
        <w:rPr>
          <w:rFonts w:hint="eastAsia" w:cs="Times New Roman"/>
          <w:color w:val="auto"/>
        </w:rPr>
        <w:t>年1</w:t>
      </w:r>
      <w:r>
        <w:rPr>
          <w:rFonts w:cs="Times New Roman"/>
          <w:color w:val="auto"/>
        </w:rPr>
        <w:t>0</w:t>
      </w:r>
      <w:r>
        <w:rPr>
          <w:rFonts w:hint="eastAsia" w:cs="Times New Roman"/>
          <w:color w:val="auto"/>
        </w:rPr>
        <w:t>月1日起施行</w:t>
      </w:r>
      <w:r>
        <w:rPr>
          <w:rFonts w:cs="Times New Roman"/>
          <w:color w:val="auto"/>
        </w:rPr>
        <w:t>）；</w:t>
      </w:r>
    </w:p>
    <w:p>
      <w:pPr>
        <w:ind w:firstLine="480"/>
        <w:rPr>
          <w:rFonts w:cs="Times New Roman"/>
          <w:color w:val="auto"/>
        </w:rPr>
      </w:pPr>
      <w:r>
        <w:rPr>
          <w:rFonts w:hint="eastAsia" w:eastAsia="宋体" w:cs="Times New Roman"/>
          <w:color w:val="auto"/>
        </w:rPr>
        <w:t>7、</w:t>
      </w:r>
      <w:r>
        <w:rPr>
          <w:rFonts w:cs="Times New Roman"/>
          <w:color w:val="auto"/>
        </w:rPr>
        <w:t>《建设项目竣工环境保护验收暂行办法》</w:t>
      </w:r>
      <w:r>
        <w:rPr>
          <w:rFonts w:hint="eastAsia" w:cs="Times New Roman"/>
          <w:color w:val="auto"/>
        </w:rPr>
        <w:t>（</w:t>
      </w:r>
      <w:r>
        <w:rPr>
          <w:rFonts w:cs="Times New Roman"/>
          <w:color w:val="auto"/>
        </w:rPr>
        <w:t>环境保护部国环规环评[2017]4号</w:t>
      </w:r>
      <w:r>
        <w:rPr>
          <w:rFonts w:hint="eastAsia" w:cs="Times New Roman"/>
          <w:color w:val="auto"/>
        </w:rPr>
        <w:t>，2</w:t>
      </w:r>
      <w:r>
        <w:rPr>
          <w:rFonts w:cs="Times New Roman"/>
          <w:color w:val="auto"/>
        </w:rPr>
        <w:t>017</w:t>
      </w:r>
      <w:r>
        <w:rPr>
          <w:rFonts w:hint="eastAsia" w:cs="Times New Roman"/>
          <w:color w:val="auto"/>
        </w:rPr>
        <w:t>年1</w:t>
      </w:r>
      <w:r>
        <w:rPr>
          <w:rFonts w:cs="Times New Roman"/>
          <w:color w:val="auto"/>
        </w:rPr>
        <w:t>1</w:t>
      </w:r>
      <w:r>
        <w:rPr>
          <w:rFonts w:hint="eastAsia" w:cs="Times New Roman"/>
          <w:color w:val="auto"/>
        </w:rPr>
        <w:t>月2</w:t>
      </w:r>
      <w:r>
        <w:rPr>
          <w:rFonts w:cs="Times New Roman"/>
          <w:color w:val="auto"/>
        </w:rPr>
        <w:t>0</w:t>
      </w:r>
      <w:r>
        <w:rPr>
          <w:rFonts w:hint="eastAsia" w:cs="Times New Roman"/>
          <w:color w:val="auto"/>
        </w:rPr>
        <w:t>日发布并实施）</w:t>
      </w:r>
      <w:r>
        <w:rPr>
          <w:rFonts w:cs="Times New Roman"/>
          <w:color w:val="auto"/>
        </w:rPr>
        <w:t>；</w:t>
      </w:r>
    </w:p>
    <w:p>
      <w:pPr>
        <w:ind w:firstLine="480"/>
        <w:rPr>
          <w:color w:val="auto"/>
        </w:rPr>
      </w:pPr>
      <w:r>
        <w:rPr>
          <w:rFonts w:hint="eastAsia"/>
          <w:color w:val="auto"/>
        </w:rPr>
        <w:t>8、《关于公开征求&lt;关于规范建设单位自主开展建设项目竣工环境保护验收的通知（征求意见稿）&gt;意见的通知》（</w:t>
      </w:r>
      <w:r>
        <w:rPr>
          <w:rFonts w:eastAsia="宋体"/>
          <w:color w:val="auto"/>
        </w:rPr>
        <w:t>环境保护部</w:t>
      </w:r>
      <w:r>
        <w:rPr>
          <w:rFonts w:hint="eastAsia"/>
          <w:color w:val="auto"/>
        </w:rPr>
        <w:t>环办环评函[2017]1235号）；</w:t>
      </w:r>
    </w:p>
    <w:p>
      <w:pPr>
        <w:ind w:firstLine="480"/>
        <w:rPr>
          <w:color w:val="auto"/>
        </w:rPr>
      </w:pPr>
      <w:r>
        <w:rPr>
          <w:rFonts w:hint="eastAsia"/>
          <w:color w:val="auto"/>
        </w:rPr>
        <w:t>9、《污染影响类建设项目重大变动清单（试行）》（生态环境部环办环评函[</w:t>
      </w:r>
      <w:r>
        <w:rPr>
          <w:color w:val="auto"/>
        </w:rPr>
        <w:t>2020]688</w:t>
      </w:r>
      <w:r>
        <w:rPr>
          <w:rFonts w:hint="eastAsia"/>
          <w:color w:val="auto"/>
        </w:rPr>
        <w:t>号，2</w:t>
      </w:r>
      <w:r>
        <w:rPr>
          <w:color w:val="auto"/>
        </w:rPr>
        <w:t>020</w:t>
      </w:r>
      <w:r>
        <w:rPr>
          <w:rFonts w:hint="eastAsia"/>
          <w:color w:val="auto"/>
        </w:rPr>
        <w:t>年1</w:t>
      </w:r>
      <w:r>
        <w:rPr>
          <w:color w:val="auto"/>
        </w:rPr>
        <w:t>2</w:t>
      </w:r>
      <w:r>
        <w:rPr>
          <w:rFonts w:hint="eastAsia"/>
          <w:color w:val="auto"/>
        </w:rPr>
        <w:t>月</w:t>
      </w:r>
      <w:r>
        <w:rPr>
          <w:color w:val="auto"/>
        </w:rPr>
        <w:t>13</w:t>
      </w:r>
      <w:r>
        <w:rPr>
          <w:rFonts w:hint="eastAsia"/>
          <w:color w:val="auto"/>
        </w:rPr>
        <w:t>日印发）；</w:t>
      </w:r>
    </w:p>
    <w:p>
      <w:pPr>
        <w:ind w:firstLine="480"/>
        <w:rPr>
          <w:color w:val="auto"/>
        </w:rPr>
      </w:pPr>
      <w:r>
        <w:rPr>
          <w:color w:val="auto"/>
        </w:rPr>
        <w:t>10</w:t>
      </w:r>
      <w:r>
        <w:rPr>
          <w:rFonts w:hint="eastAsia"/>
          <w:color w:val="auto"/>
        </w:rPr>
        <w:t>、</w:t>
      </w:r>
      <w:r>
        <w:rPr>
          <w:color w:val="auto"/>
        </w:rPr>
        <w:t>《建设项目竣工环境保护验收技术指南污染影响类》</w:t>
      </w:r>
      <w:r>
        <w:rPr>
          <w:rFonts w:hint="eastAsia"/>
          <w:color w:val="auto"/>
        </w:rPr>
        <w:t>（</w:t>
      </w:r>
      <w:r>
        <w:rPr>
          <w:color w:val="auto"/>
        </w:rPr>
        <w:t>生态环境部公告2018年第9号</w:t>
      </w:r>
      <w:r>
        <w:rPr>
          <w:rFonts w:hint="eastAsia"/>
          <w:color w:val="auto"/>
        </w:rPr>
        <w:t>，2</w:t>
      </w:r>
      <w:r>
        <w:rPr>
          <w:color w:val="auto"/>
        </w:rPr>
        <w:t>018</w:t>
      </w:r>
      <w:r>
        <w:rPr>
          <w:rFonts w:hint="eastAsia"/>
          <w:color w:val="auto"/>
        </w:rPr>
        <w:t>年5月1</w:t>
      </w:r>
      <w:r>
        <w:rPr>
          <w:color w:val="auto"/>
        </w:rPr>
        <w:t>6</w:t>
      </w:r>
      <w:r>
        <w:rPr>
          <w:rFonts w:hint="eastAsia"/>
          <w:color w:val="auto"/>
        </w:rPr>
        <w:t>日印发）</w:t>
      </w:r>
      <w:r>
        <w:rPr>
          <w:color w:val="auto"/>
        </w:rPr>
        <w:t>；</w:t>
      </w:r>
    </w:p>
    <w:p>
      <w:pPr>
        <w:ind w:firstLine="480"/>
        <w:rPr>
          <w:color w:val="auto"/>
        </w:rPr>
      </w:pPr>
      <w:r>
        <w:rPr>
          <w:color w:val="auto"/>
        </w:rPr>
        <w:t>11</w:t>
      </w:r>
      <w:r>
        <w:rPr>
          <w:rFonts w:hint="eastAsia"/>
          <w:color w:val="auto"/>
        </w:rPr>
        <w:t>、</w:t>
      </w:r>
      <w:r>
        <w:rPr>
          <w:color w:val="auto"/>
        </w:rPr>
        <w:t>《浙江省建设项目环境保护管理办法》</w:t>
      </w:r>
      <w:r>
        <w:rPr>
          <w:rFonts w:hint="eastAsia"/>
          <w:color w:val="auto"/>
        </w:rPr>
        <w:t>（</w:t>
      </w:r>
      <w:r>
        <w:rPr>
          <w:color w:val="auto"/>
        </w:rPr>
        <w:t>浙江省人民政府令第388号</w:t>
      </w:r>
      <w:r>
        <w:rPr>
          <w:rFonts w:hint="eastAsia"/>
          <w:color w:val="auto"/>
        </w:rPr>
        <w:t>，2</w:t>
      </w:r>
      <w:r>
        <w:rPr>
          <w:color w:val="auto"/>
        </w:rPr>
        <w:t>021</w:t>
      </w:r>
      <w:r>
        <w:rPr>
          <w:rFonts w:hint="eastAsia"/>
          <w:color w:val="auto"/>
        </w:rPr>
        <w:t>年</w:t>
      </w:r>
      <w:r>
        <w:rPr>
          <w:color w:val="auto"/>
        </w:rPr>
        <w:t>2</w:t>
      </w:r>
      <w:r>
        <w:rPr>
          <w:rFonts w:hint="eastAsia"/>
          <w:color w:val="auto"/>
        </w:rPr>
        <w:t>月</w:t>
      </w:r>
      <w:r>
        <w:rPr>
          <w:color w:val="auto"/>
        </w:rPr>
        <w:t>10</w:t>
      </w:r>
      <w:r>
        <w:rPr>
          <w:rFonts w:hint="eastAsia"/>
          <w:color w:val="auto"/>
        </w:rPr>
        <w:t>日起施行）</w:t>
      </w:r>
      <w:r>
        <w:rPr>
          <w:color w:val="auto"/>
        </w:rPr>
        <w:t>；</w:t>
      </w:r>
    </w:p>
    <w:p>
      <w:pPr>
        <w:ind w:firstLine="480"/>
        <w:rPr>
          <w:color w:val="auto"/>
        </w:rPr>
      </w:pPr>
      <w:r>
        <w:rPr>
          <w:rFonts w:hint="eastAsia"/>
          <w:color w:val="auto"/>
        </w:rPr>
        <w:t>1</w:t>
      </w:r>
      <w:r>
        <w:rPr>
          <w:color w:val="auto"/>
        </w:rPr>
        <w:t>2</w:t>
      </w:r>
      <w:r>
        <w:rPr>
          <w:rFonts w:hint="eastAsia"/>
          <w:color w:val="auto"/>
        </w:rPr>
        <w:t>、</w:t>
      </w:r>
      <w:r>
        <w:rPr>
          <w:color w:val="auto"/>
        </w:rPr>
        <w:t>《污水综合排放标准》（GB8978-1996）；</w:t>
      </w:r>
    </w:p>
    <w:p>
      <w:pPr>
        <w:ind w:firstLine="480"/>
        <w:rPr>
          <w:color w:val="auto"/>
        </w:rPr>
      </w:pPr>
      <w:r>
        <w:rPr>
          <w:color w:val="auto"/>
        </w:rPr>
        <w:t>13</w:t>
      </w:r>
      <w:r>
        <w:rPr>
          <w:rFonts w:hint="eastAsia"/>
          <w:color w:val="auto"/>
        </w:rPr>
        <w:t>、</w:t>
      </w:r>
      <w:r>
        <w:rPr>
          <w:color w:val="auto"/>
        </w:rPr>
        <w:t>《工业企业废水氮、磷污染物间接排放限值》（DB33/887-2013）；</w:t>
      </w:r>
    </w:p>
    <w:p>
      <w:pPr>
        <w:ind w:firstLine="480"/>
        <w:rPr>
          <w:color w:val="auto"/>
        </w:rPr>
      </w:pPr>
      <w:r>
        <w:rPr>
          <w:rFonts w:hint="eastAsia"/>
          <w:color w:val="auto"/>
        </w:rPr>
        <w:t>1</w:t>
      </w:r>
      <w:r>
        <w:rPr>
          <w:color w:val="auto"/>
        </w:rPr>
        <w:t>4</w:t>
      </w:r>
      <w:r>
        <w:rPr>
          <w:rFonts w:hint="eastAsia"/>
          <w:color w:val="auto"/>
        </w:rPr>
        <w:t>、</w:t>
      </w:r>
      <w:r>
        <w:rPr>
          <w:color w:val="auto"/>
        </w:rPr>
        <w:t>《大气污染物综合排放标准》（GB16297-1996）；</w:t>
      </w:r>
    </w:p>
    <w:p>
      <w:pPr>
        <w:ind w:firstLine="480"/>
        <w:rPr>
          <w:color w:val="auto"/>
        </w:rPr>
      </w:pPr>
      <w:r>
        <w:rPr>
          <w:rFonts w:hint="eastAsia"/>
          <w:color w:val="auto"/>
        </w:rPr>
        <w:t>1</w:t>
      </w:r>
      <w:r>
        <w:rPr>
          <w:color w:val="auto"/>
        </w:rPr>
        <w:t>5</w:t>
      </w:r>
      <w:r>
        <w:rPr>
          <w:rFonts w:hint="eastAsia"/>
          <w:color w:val="auto"/>
        </w:rPr>
        <w:t>、</w:t>
      </w:r>
      <w:r>
        <w:rPr>
          <w:color w:val="auto"/>
        </w:rPr>
        <w:t>《工业企业厂界环境噪声排放标准》（GB12348-2008）；</w:t>
      </w:r>
    </w:p>
    <w:p>
      <w:pPr>
        <w:ind w:firstLine="480"/>
        <w:rPr>
          <w:color w:val="auto"/>
        </w:rPr>
      </w:pPr>
      <w:r>
        <w:rPr>
          <w:color w:val="auto"/>
        </w:rPr>
        <w:t>16</w:t>
      </w:r>
      <w:r>
        <w:rPr>
          <w:rFonts w:hint="eastAsia"/>
          <w:color w:val="auto"/>
        </w:rPr>
        <w:t>、《声环境质量标准》（GB</w:t>
      </w:r>
      <w:r>
        <w:rPr>
          <w:color w:val="auto"/>
        </w:rPr>
        <w:t>3096-2008</w:t>
      </w:r>
      <w:r>
        <w:rPr>
          <w:rFonts w:hint="eastAsia"/>
          <w:color w:val="auto"/>
        </w:rPr>
        <w:t>）；</w:t>
      </w:r>
    </w:p>
    <w:p>
      <w:pPr>
        <w:ind w:firstLine="480"/>
        <w:rPr>
          <w:color w:val="auto"/>
        </w:rPr>
      </w:pPr>
      <w:r>
        <w:rPr>
          <w:rFonts w:hint="eastAsia"/>
          <w:color w:val="auto"/>
        </w:rPr>
        <w:t>1</w:t>
      </w:r>
      <w:r>
        <w:rPr>
          <w:color w:val="auto"/>
        </w:rPr>
        <w:t>7</w:t>
      </w:r>
      <w:r>
        <w:rPr>
          <w:rFonts w:hint="eastAsia"/>
          <w:color w:val="auto"/>
        </w:rPr>
        <w:t>、</w:t>
      </w:r>
      <w:r>
        <w:rPr>
          <w:color w:val="auto"/>
        </w:rPr>
        <w:t>《一般工业固体废物</w:t>
      </w:r>
      <w:r>
        <w:rPr>
          <w:rFonts w:hint="eastAsia"/>
          <w:color w:val="auto"/>
        </w:rPr>
        <w:t>贮存和填埋</w:t>
      </w:r>
      <w:r>
        <w:rPr>
          <w:color w:val="auto"/>
        </w:rPr>
        <w:t>污染控制标准》（GB18599-2020）；</w:t>
      </w:r>
    </w:p>
    <w:p>
      <w:pPr>
        <w:ind w:firstLine="480"/>
        <w:rPr>
          <w:color w:val="auto"/>
        </w:rPr>
      </w:pPr>
      <w:r>
        <w:rPr>
          <w:color w:val="auto"/>
        </w:rPr>
        <w:t>18</w:t>
      </w:r>
      <w:r>
        <w:rPr>
          <w:rFonts w:hint="eastAsia"/>
          <w:color w:val="auto"/>
        </w:rPr>
        <w:t>、浙江环科环境咨询有限公司编制的</w:t>
      </w:r>
      <w:r>
        <w:rPr>
          <w:color w:val="auto"/>
        </w:rPr>
        <w:t>《</w:t>
      </w:r>
      <w:r>
        <w:rPr>
          <w:rFonts w:hint="eastAsia"/>
          <w:color w:val="auto"/>
        </w:rPr>
        <w:t>桐乡市鸿尔纺织有限公司年产600吨高档粗纺羊绒纱项目</w:t>
      </w:r>
      <w:r>
        <w:rPr>
          <w:color w:val="auto"/>
        </w:rPr>
        <w:t>环境影响报告</w:t>
      </w:r>
      <w:r>
        <w:rPr>
          <w:rFonts w:hint="eastAsia"/>
          <w:color w:val="auto"/>
        </w:rPr>
        <w:t>表</w:t>
      </w:r>
      <w:r>
        <w:rPr>
          <w:color w:val="auto"/>
        </w:rPr>
        <w:t>》</w:t>
      </w:r>
      <w:r>
        <w:rPr>
          <w:rFonts w:hint="eastAsia"/>
          <w:color w:val="auto"/>
        </w:rPr>
        <w:t>（20</w:t>
      </w:r>
      <w:r>
        <w:rPr>
          <w:color w:val="auto"/>
        </w:rPr>
        <w:t>1</w:t>
      </w:r>
      <w:r>
        <w:rPr>
          <w:rFonts w:hint="eastAsia"/>
          <w:color w:val="auto"/>
        </w:rPr>
        <w:t>5年</w:t>
      </w:r>
      <w:r>
        <w:rPr>
          <w:color w:val="auto"/>
        </w:rPr>
        <w:t>8</w:t>
      </w:r>
      <w:r>
        <w:rPr>
          <w:rFonts w:hint="eastAsia"/>
          <w:color w:val="auto"/>
        </w:rPr>
        <w:t>月）</w:t>
      </w:r>
      <w:r>
        <w:rPr>
          <w:color w:val="auto"/>
        </w:rPr>
        <w:t>；</w:t>
      </w:r>
    </w:p>
    <w:p>
      <w:pPr>
        <w:ind w:firstLine="480"/>
        <w:rPr>
          <w:color w:val="auto"/>
        </w:rPr>
      </w:pPr>
      <w:r>
        <w:rPr>
          <w:color w:val="auto"/>
        </w:rPr>
        <w:t>19</w:t>
      </w:r>
      <w:r>
        <w:rPr>
          <w:rFonts w:hint="eastAsia"/>
          <w:color w:val="auto"/>
        </w:rPr>
        <w:t>、原桐乡市环境保护局出具的</w:t>
      </w:r>
      <w:r>
        <w:rPr>
          <w:color w:val="auto"/>
        </w:rPr>
        <w:t>《关于</w:t>
      </w:r>
      <w:r>
        <w:rPr>
          <w:rFonts w:eastAsia="Times New Roman"/>
          <w:color w:val="auto"/>
        </w:rPr>
        <w:t>&lt;</w:t>
      </w:r>
      <w:r>
        <w:rPr>
          <w:rFonts w:hint="eastAsia"/>
          <w:color w:val="auto"/>
        </w:rPr>
        <w:t>桐乡市鸿尔纺织有限公司产600吨高档粗纺羊绒纱项目</w:t>
      </w:r>
      <w:r>
        <w:rPr>
          <w:color w:val="auto"/>
        </w:rPr>
        <w:t>环境影响报告</w:t>
      </w:r>
      <w:r>
        <w:rPr>
          <w:rFonts w:hint="eastAsia"/>
          <w:color w:val="auto"/>
        </w:rPr>
        <w:t>表</w:t>
      </w:r>
      <w:r>
        <w:rPr>
          <w:rFonts w:eastAsia="Times New Roman"/>
          <w:color w:val="auto"/>
        </w:rPr>
        <w:t>&gt;</w:t>
      </w:r>
      <w:r>
        <w:rPr>
          <w:color w:val="auto"/>
        </w:rPr>
        <w:t>的审查意见</w:t>
      </w:r>
      <w:r>
        <w:rPr>
          <w:rFonts w:hint="eastAsia"/>
          <w:color w:val="auto"/>
        </w:rPr>
        <w:t>》（桐</w:t>
      </w:r>
      <w:r>
        <w:rPr>
          <w:color w:val="auto"/>
        </w:rPr>
        <w:t>环建</w:t>
      </w:r>
      <w:r>
        <w:rPr>
          <w:rFonts w:eastAsia="Times New Roman"/>
          <w:color w:val="auto"/>
        </w:rPr>
        <w:t>[20</w:t>
      </w:r>
      <w:r>
        <w:rPr>
          <w:rFonts w:hint="eastAsia" w:eastAsia="宋体"/>
          <w:color w:val="auto"/>
        </w:rPr>
        <w:t>15</w:t>
      </w:r>
      <w:r>
        <w:rPr>
          <w:rFonts w:eastAsia="Times New Roman"/>
          <w:color w:val="auto"/>
        </w:rPr>
        <w:t>]</w:t>
      </w:r>
      <w:r>
        <w:rPr>
          <w:rFonts w:hint="eastAsia" w:eastAsia="宋体"/>
          <w:color w:val="auto"/>
        </w:rPr>
        <w:t>252</w:t>
      </w:r>
      <w:r>
        <w:rPr>
          <w:color w:val="auto"/>
        </w:rPr>
        <w:t>号）</w:t>
      </w:r>
      <w:r>
        <w:rPr>
          <w:rFonts w:hint="eastAsia"/>
          <w:color w:val="auto"/>
        </w:rPr>
        <w:t>；</w:t>
      </w:r>
    </w:p>
    <w:p>
      <w:pPr>
        <w:widowControl/>
        <w:ind w:firstLine="480"/>
        <w:jc w:val="left"/>
        <w:rPr>
          <w:color w:val="auto"/>
        </w:rPr>
      </w:pPr>
      <w:r>
        <w:rPr>
          <w:color w:val="auto"/>
        </w:rPr>
        <w:t>20</w:t>
      </w:r>
      <w:r>
        <w:rPr>
          <w:rFonts w:hint="eastAsia"/>
          <w:color w:val="auto"/>
        </w:rPr>
        <w:t>、浙江华维检测技术服务有限公司出具的《桐乡市鸿尔纺织有限公司三同时验收检测报告》（</w:t>
      </w:r>
      <w:r>
        <w:rPr>
          <w:color w:val="auto"/>
        </w:rPr>
        <w:t>ZJHW20211100</w:t>
      </w:r>
      <w:r>
        <w:rPr>
          <w:rFonts w:hint="eastAsia"/>
          <w:color w:val="auto"/>
        </w:rPr>
        <w:t>113</w:t>
      </w:r>
      <w:r>
        <w:rPr>
          <w:color w:val="auto"/>
        </w:rPr>
        <w:t>-1</w:t>
      </w:r>
      <w:r>
        <w:rPr>
          <w:rFonts w:hint="eastAsia"/>
          <w:color w:val="auto"/>
        </w:rPr>
        <w:t>）、（</w:t>
      </w:r>
      <w:r>
        <w:rPr>
          <w:color w:val="auto"/>
        </w:rPr>
        <w:t>ZJHW202</w:t>
      </w:r>
      <w:r>
        <w:rPr>
          <w:rFonts w:hint="eastAsia"/>
          <w:color w:val="auto"/>
        </w:rPr>
        <w:t>20202577</w:t>
      </w:r>
      <w:r>
        <w:rPr>
          <w:color w:val="auto"/>
        </w:rPr>
        <w:t>-1</w:t>
      </w:r>
      <w:r>
        <w:rPr>
          <w:rFonts w:hint="eastAsia"/>
          <w:color w:val="auto"/>
        </w:rPr>
        <w:t>）。</w:t>
      </w:r>
    </w:p>
    <w:p>
      <w:pPr>
        <w:pStyle w:val="2"/>
        <w:ind w:left="480" w:firstLine="480"/>
        <w:rPr>
          <w:color w:val="auto"/>
        </w:rPr>
      </w:pPr>
    </w:p>
    <w:p>
      <w:pPr>
        <w:pStyle w:val="4"/>
        <w:rPr>
          <w:color w:val="auto"/>
        </w:rPr>
        <w:sectPr>
          <w:headerReference r:id="rId23" w:type="first"/>
          <w:footerReference r:id="rId24" w:type="first"/>
          <w:pgSz w:w="11906" w:h="16838"/>
          <w:pgMar w:top="1418" w:right="1701" w:bottom="1418" w:left="1701" w:header="851" w:footer="992" w:gutter="0"/>
          <w:pgNumType w:fmt="numberInDash"/>
          <w:cols w:space="425" w:num="1"/>
          <w:titlePg/>
          <w:docGrid w:type="lines" w:linePitch="312" w:charSpace="0"/>
        </w:sectPr>
      </w:pPr>
      <w:bookmarkStart w:id="10" w:name="_Toc515273904"/>
      <w:bookmarkStart w:id="11" w:name="_Toc61958987"/>
    </w:p>
    <w:p>
      <w:pPr>
        <w:pStyle w:val="4"/>
        <w:rPr>
          <w:color w:val="auto"/>
        </w:rPr>
      </w:pPr>
      <w:r>
        <w:rPr>
          <w:color w:val="auto"/>
        </w:rPr>
        <w:t>3工程建设情况</w:t>
      </w:r>
      <w:bookmarkEnd w:id="10"/>
      <w:bookmarkEnd w:id="11"/>
    </w:p>
    <w:p>
      <w:pPr>
        <w:pStyle w:val="5"/>
        <w:rPr>
          <w:rFonts w:cs="Times New Roman"/>
          <w:color w:val="auto"/>
          <w:szCs w:val="24"/>
        </w:rPr>
      </w:pPr>
      <w:bookmarkStart w:id="12" w:name="_Toc61958988"/>
      <w:bookmarkStart w:id="13" w:name="_Toc515273905"/>
      <w:r>
        <w:rPr>
          <w:rFonts w:cs="Times New Roman"/>
          <w:color w:val="auto"/>
          <w:szCs w:val="24"/>
        </w:rPr>
        <w:t>3.1地理位置及平面布置</w:t>
      </w:r>
      <w:bookmarkEnd w:id="12"/>
      <w:bookmarkEnd w:id="13"/>
    </w:p>
    <w:p>
      <w:pPr>
        <w:ind w:firstLine="480"/>
        <w:rPr>
          <w:rFonts w:cs="Times New Roman"/>
          <w:color w:val="auto"/>
        </w:rPr>
      </w:pPr>
      <w:r>
        <w:rPr>
          <w:rFonts w:hint="eastAsia" w:cs="Times New Roman"/>
          <w:color w:val="auto"/>
        </w:rPr>
        <w:t>本项目现位于桐乡市梧桐街道环城北路198号，本项目厂区周围环境概况如下：</w:t>
      </w:r>
    </w:p>
    <w:p>
      <w:pPr>
        <w:ind w:firstLine="480"/>
        <w:rPr>
          <w:rFonts w:cs="Times New Roman"/>
          <w:color w:val="auto"/>
        </w:rPr>
      </w:pPr>
      <w:r>
        <w:rPr>
          <w:rFonts w:hint="eastAsia" w:cs="Times New Roman"/>
          <w:color w:val="auto"/>
        </w:rPr>
        <w:t>东侧：为北京鄂尔多斯羊毛制品有限公司桐乡分公司等工业企业；</w:t>
      </w:r>
    </w:p>
    <w:p>
      <w:pPr>
        <w:ind w:firstLine="480"/>
        <w:rPr>
          <w:rFonts w:cs="Times New Roman"/>
          <w:color w:val="auto"/>
        </w:rPr>
      </w:pPr>
      <w:r>
        <w:rPr>
          <w:rFonts w:hint="eastAsia" w:cs="Times New Roman"/>
          <w:color w:val="auto"/>
        </w:rPr>
        <w:t>南侧：为环城南路，路南侧为嘉兴德盟塑胶有限公司等工业企业；</w:t>
      </w:r>
    </w:p>
    <w:p>
      <w:pPr>
        <w:ind w:firstLine="480"/>
        <w:rPr>
          <w:rFonts w:cs="Times New Roman"/>
          <w:color w:val="auto"/>
        </w:rPr>
      </w:pPr>
      <w:r>
        <w:rPr>
          <w:rFonts w:hint="eastAsia" w:cs="Times New Roman"/>
          <w:color w:val="auto"/>
        </w:rPr>
        <w:t>西侧：为齐进路和秀才桥港，隔河为梧桐纺针织机械科技创业园；</w:t>
      </w:r>
    </w:p>
    <w:p>
      <w:pPr>
        <w:ind w:firstLine="480"/>
        <w:rPr>
          <w:rFonts w:cs="Times New Roman"/>
          <w:color w:val="auto"/>
        </w:rPr>
      </w:pPr>
      <w:r>
        <w:rPr>
          <w:rFonts w:hint="eastAsia" w:cs="Times New Roman"/>
          <w:color w:val="auto"/>
        </w:rPr>
        <w:t>北侧：为桐乡市雷登辉服饰有限公司等工业企业。</w:t>
      </w:r>
    </w:p>
    <w:p>
      <w:pPr>
        <w:ind w:firstLine="480"/>
        <w:rPr>
          <w:rFonts w:cs="Times New Roman"/>
          <w:color w:val="auto"/>
        </w:rPr>
      </w:pPr>
      <w:r>
        <w:rPr>
          <w:rFonts w:hint="eastAsia" w:cs="Times New Roman"/>
          <w:color w:val="auto"/>
        </w:rPr>
        <w:t>本项目地理位置见图3</w:t>
      </w:r>
      <w:r>
        <w:rPr>
          <w:rFonts w:cs="Times New Roman"/>
          <w:color w:val="auto"/>
        </w:rPr>
        <w:t>-1</w:t>
      </w:r>
      <w:r>
        <w:rPr>
          <w:rFonts w:hint="eastAsia" w:cs="Times New Roman"/>
          <w:color w:val="auto"/>
        </w:rPr>
        <w:t>，周围环境概况见图3</w:t>
      </w:r>
      <w:r>
        <w:rPr>
          <w:rFonts w:cs="Times New Roman"/>
          <w:color w:val="auto"/>
        </w:rPr>
        <w:t>-2</w:t>
      </w:r>
      <w:r>
        <w:rPr>
          <w:rFonts w:hint="eastAsia" w:cs="Times New Roman"/>
          <w:color w:val="auto"/>
        </w:rPr>
        <w:t>，厂区平面布置图见图3</w:t>
      </w:r>
      <w:r>
        <w:rPr>
          <w:rFonts w:cs="Times New Roman"/>
          <w:color w:val="auto"/>
        </w:rPr>
        <w:t>-3</w:t>
      </w:r>
      <w:r>
        <w:rPr>
          <w:rFonts w:hint="eastAsia" w:cs="Times New Roman"/>
          <w:color w:val="auto"/>
        </w:rPr>
        <w:t>。</w:t>
      </w:r>
    </w:p>
    <w:p>
      <w:pPr>
        <w:pStyle w:val="2"/>
        <w:ind w:left="480" w:firstLine="480"/>
        <w:rPr>
          <w:color w:val="auto"/>
        </w:rPr>
      </w:pPr>
      <w:r>
        <w:rPr>
          <w:rFonts w:hint="eastAsia" w:cs="Times New Roman"/>
          <w:color w:val="auto"/>
        </w:rPr>
        <w:drawing>
          <wp:anchor distT="0" distB="0" distL="114935" distR="114935" simplePos="0" relativeHeight="251662336" behindDoc="0" locked="0" layoutInCell="1" allowOverlap="1">
            <wp:simplePos x="0" y="0"/>
            <wp:positionH relativeFrom="column">
              <wp:posOffset>4743450</wp:posOffset>
            </wp:positionH>
            <wp:positionV relativeFrom="paragraph">
              <wp:posOffset>268605</wp:posOffset>
            </wp:positionV>
            <wp:extent cx="391795" cy="408940"/>
            <wp:effectExtent l="0" t="0" r="8255" b="10160"/>
            <wp:wrapNone/>
            <wp:docPr id="19" name="图片 19" descr="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南针"/>
                    <pic:cNvPicPr>
                      <a:picLocks noChangeAspect="1"/>
                    </pic:cNvPicPr>
                  </pic:nvPicPr>
                  <pic:blipFill>
                    <a:blip r:embed="rId28"/>
                    <a:stretch>
                      <a:fillRect/>
                    </a:stretch>
                  </pic:blipFill>
                  <pic:spPr>
                    <a:xfrm>
                      <a:off x="0" y="0"/>
                      <a:ext cx="391795" cy="408940"/>
                    </a:xfrm>
                    <a:prstGeom prst="rect">
                      <a:avLst/>
                    </a:prstGeom>
                  </pic:spPr>
                </pic:pic>
              </a:graphicData>
            </a:graphic>
          </wp:anchor>
        </w:drawing>
      </w:r>
      <w:r>
        <w:rPr>
          <w:color w:val="auto"/>
        </w:rPr>
        <w:drawing>
          <wp:anchor distT="0" distB="0" distL="114300" distR="114300" simplePos="0" relativeHeight="251659264" behindDoc="0" locked="0" layoutInCell="1" allowOverlap="1">
            <wp:simplePos x="0" y="0"/>
            <wp:positionH relativeFrom="margin">
              <wp:align>center</wp:align>
            </wp:positionH>
            <wp:positionV relativeFrom="paragraph">
              <wp:posOffset>35560</wp:posOffset>
            </wp:positionV>
            <wp:extent cx="5400040" cy="3689350"/>
            <wp:effectExtent l="0" t="0" r="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screen"/>
                    <a:stretch>
                      <a:fillRect/>
                    </a:stretch>
                  </pic:blipFill>
                  <pic:spPr>
                    <a:xfrm>
                      <a:off x="0" y="0"/>
                      <a:ext cx="5400040" cy="3689350"/>
                    </a:xfrm>
                    <a:prstGeom prst="rect">
                      <a:avLst/>
                    </a:prstGeom>
                  </pic:spPr>
                </pic:pic>
              </a:graphicData>
            </a:graphic>
          </wp:anchor>
        </w:drawing>
      </w:r>
    </w:p>
    <w:p>
      <w:pPr>
        <w:pStyle w:val="2"/>
        <w:ind w:left="480" w:firstLine="480"/>
        <w:rPr>
          <w:color w:val="auto"/>
        </w:rPr>
      </w:pPr>
    </w:p>
    <w:p>
      <w:pPr>
        <w:pStyle w:val="2"/>
        <w:ind w:left="480" w:firstLine="480"/>
        <w:rPr>
          <w:color w:val="auto"/>
        </w:rPr>
      </w:pPr>
    </w:p>
    <w:p>
      <w:pPr>
        <w:pStyle w:val="2"/>
        <w:ind w:left="480" w:firstLine="480"/>
        <w:rPr>
          <w:color w:val="auto"/>
        </w:rPr>
      </w:pPr>
      <w:r>
        <w:rPr>
          <w:rFonts w:hint="eastAsia" w:cs="Times New Roman"/>
          <w:color w:val="auto"/>
        </w:rPr>
        <mc:AlternateContent>
          <mc:Choice Requires="wps">
            <w:drawing>
              <wp:anchor distT="0" distB="0" distL="114300" distR="114300" simplePos="0" relativeHeight="251660288" behindDoc="0" locked="0" layoutInCell="1" allowOverlap="1">
                <wp:simplePos x="0" y="0"/>
                <wp:positionH relativeFrom="column">
                  <wp:posOffset>2419985</wp:posOffset>
                </wp:positionH>
                <wp:positionV relativeFrom="paragraph">
                  <wp:posOffset>93345</wp:posOffset>
                </wp:positionV>
                <wp:extent cx="904875" cy="285750"/>
                <wp:effectExtent l="0" t="0" r="104775" b="266700"/>
                <wp:wrapNone/>
                <wp:docPr id="3" name="对话气泡: 矩形 3"/>
                <wp:cNvGraphicFramePr/>
                <a:graphic xmlns:a="http://schemas.openxmlformats.org/drawingml/2006/main">
                  <a:graphicData uri="http://schemas.microsoft.com/office/word/2010/wordprocessingShape">
                    <wps:wsp>
                      <wps:cNvSpPr>
                        <a:spLocks noChangeArrowheads="1"/>
                      </wps:cNvSpPr>
                      <wps:spPr bwMode="auto">
                        <a:xfrm>
                          <a:off x="0" y="0"/>
                          <a:ext cx="904875" cy="285750"/>
                        </a:xfrm>
                        <a:prstGeom prst="wedgeRectCallout">
                          <a:avLst>
                            <a:gd name="adj1" fmla="val 54208"/>
                            <a:gd name="adj2" fmla="val 125458"/>
                          </a:avLst>
                        </a:prstGeom>
                        <a:solidFill>
                          <a:srgbClr val="CCFFCC"/>
                        </a:solidFill>
                        <a:ln w="15875">
                          <a:solidFill>
                            <a:srgbClr val="000000"/>
                          </a:solidFill>
                          <a:miter lim="800000"/>
                        </a:ln>
                      </wps:spPr>
                      <wps:txbx>
                        <w:txbxContent>
                          <w:p>
                            <w:pPr>
                              <w:spacing w:line="240" w:lineRule="auto"/>
                              <w:ind w:firstLine="0" w:firstLineChars="0"/>
                              <w:jc w:val="center"/>
                              <w:textAlignment w:val="top"/>
                              <w:rPr>
                                <w:b/>
                                <w:color w:val="FF0000"/>
                              </w:rPr>
                            </w:pPr>
                            <w:r>
                              <w:rPr>
                                <w:rFonts w:hint="eastAsia"/>
                                <w:b/>
                                <w:color w:val="FF0000"/>
                              </w:rPr>
                              <w:t>项目位置</w:t>
                            </w:r>
                          </w:p>
                        </w:txbxContent>
                      </wps:txbx>
                      <wps:bodyPr rot="0" vert="horz" wrap="square" lIns="64800" tIns="50400" rIns="64800" bIns="43200" anchor="t" anchorCtr="0" upright="1">
                        <a:noAutofit/>
                      </wps:bodyPr>
                    </wps:wsp>
                  </a:graphicData>
                </a:graphic>
              </wp:anchor>
            </w:drawing>
          </mc:Choice>
          <mc:Fallback>
            <w:pict>
              <v:shape id="对话气泡: 矩形 3" o:spid="_x0000_s1026" o:spt="61" type="#_x0000_t61" style="position:absolute;left:0pt;margin-left:190.55pt;margin-top:7.35pt;height:22.5pt;width:71.25pt;z-index:251660288;mso-width-relative:page;mso-height-relative:page;" fillcolor="#CCFFCC" filled="t" stroked="t" coordsize="21600,21600" o:gfxdata="UEsDBAoAAAAAAIdO4kAAAAAAAAAAAAAAAAAEAAAAZHJzL1BLAwQUAAAACACHTuJA0KP2lNgAAAAJ&#10;AQAADwAAAGRycy9kb3ducmV2LnhtbE2PwU7DMAyG70i8Q2QkLhNLu8LWlaY7ICEhhJAYPICbhKbQ&#10;OFWTddvbY05ws/V/+v253p38IGY7xT6QgnyZgbCkg+mpU/Dx/nhTgogJyeAQyCo42wi75vKixsqE&#10;I73ZeZ86wSUUK1TgUhorKaN21mNchtESZ59h8ph4nTppJjxyuR/kKsvW0mNPfMHhaB+c1d/7g1ew&#10;WLy4p64oW69n8/z6pXF7jqjU9VWe3YNI9pT+YPjVZ3Vo2KkNBzJRDAqKMs8Z5eB2A4KBu1WxBtHy&#10;sN2AbGr5/4PmB1BLAwQUAAAACACHTuJAeIi6GXgCAADmBAAADgAAAGRycy9lMm9Eb2MueG1srVTN&#10;btQwEL4j8Q6W7zTZ7aZdomarKtUipAIVhQfw2k5i8B+2d7PlObgiBDdOReLEgcdp4TGYONmyLQj1&#10;QA7RjD3+Zub7PD44XCuJVtx5YXSBRzspRlxTw4SuC/zyxfzBFCMfiGZEGs0LfM49Ppzdv3fQ2pyP&#10;TWMk4w4BiPZ5awvchGDzJPG04Yr4HWO5hs3KOEUCuK5OmCMtoCuZjNN0L2mNY9YZyr2H1eN+Ew+I&#10;7i6ApqoE5ceGLhXXoUd1XJIALflGWI9nsdqq4jQ8qyrPA5IFhk5D/EMSsBfdP5kdkLx2xDaCDiWQ&#10;u5RwqydFhIak11DHJBC0dOIPKCWoM95UYYcalfSNREagi1F6i5uzhlgeewGqvb0m3f8/WPp0deqQ&#10;YAXexUgTBYJfXnz7efH+6su7q68fc/Tjw+fL75/QbsdUa30OB87sqet69fbE0NceaVM2RNf8yDnT&#10;NpwwqG/UxSc3DnSOh6No0T4xDBKRZTCRtHXlVAcIdKB11Ob8Whu+DojC4sN0Mt3PMKKwNZ5m+1nU&#10;LiH55rB1PjziRqHOKHDLWc2fg/4lkdIsQ0xEVic+RJnY0Cxhr0YYVUqC6isiUTYZp9PhVmzFjLdj&#10;RuNsksUgSD9AgrUpIFJjpGBzIWV0XL0opUOAX+CynM/LMrIDDG6HSY1aIC7r2vw3Rhq/v2EoEWA4&#10;pVAFnm4HST2o0QnQCxnWi/Wg6cKwc9DFmX484HEAozHuLUYtjEaB/ZslcRwj+ViDtnsTwIZZik6W&#10;TjrHbe8sojPZhXHHiGgKUAUOG7MM/fwtrRN1A5lGsV1tjuA+VCJsLk5f1VA3XH+wbszXth+jfj9P&#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Qo/aU2AAAAAkBAAAPAAAAAAAAAAEAIAAAACIAAABk&#10;cnMvZG93bnJldi54bWxQSwECFAAUAAAACACHTuJAeIi6GXgCAADmBAAADgAAAAAAAAABACAAAAAn&#10;AQAAZHJzL2Uyb0RvYy54bWxQSwUGAAAAAAYABgBZAQAAEQYAAAAA&#10;" adj="22509,37899">
                <v:fill on="t" focussize="0,0"/>
                <v:stroke weight="1.25pt" color="#000000" miterlimit="8" joinstyle="miter"/>
                <v:imagedata o:title=""/>
                <o:lock v:ext="edit" aspectratio="f"/>
                <v:textbox inset="1.8mm,1.4mm,1.8mm,1.2mm">
                  <w:txbxContent>
                    <w:p>
                      <w:pPr>
                        <w:spacing w:line="240" w:lineRule="auto"/>
                        <w:ind w:firstLine="0" w:firstLineChars="0"/>
                        <w:jc w:val="center"/>
                        <w:textAlignment w:val="top"/>
                        <w:rPr>
                          <w:b/>
                          <w:color w:val="FF0000"/>
                        </w:rPr>
                      </w:pPr>
                      <w:r>
                        <w:rPr>
                          <w:rFonts w:hint="eastAsia"/>
                          <w:b/>
                          <w:color w:val="FF0000"/>
                        </w:rPr>
                        <w:t>项目位置</w:t>
                      </w:r>
                    </w:p>
                  </w:txbxContent>
                </v:textbox>
              </v:shape>
            </w:pict>
          </mc:Fallback>
        </mc:AlternateContent>
      </w:r>
    </w:p>
    <w:p>
      <w:pPr>
        <w:pStyle w:val="2"/>
        <w:ind w:left="480" w:firstLine="480"/>
        <w:rPr>
          <w:color w:val="auto"/>
        </w:rPr>
      </w:pPr>
    </w:p>
    <w:p>
      <w:pPr>
        <w:pStyle w:val="2"/>
        <w:ind w:left="480" w:firstLine="480"/>
        <w:rPr>
          <w:color w:val="auto"/>
        </w:rPr>
      </w:pPr>
    </w:p>
    <w:p>
      <w:pPr>
        <w:pStyle w:val="2"/>
        <w:ind w:left="480" w:firstLine="480"/>
        <w:rPr>
          <w:color w:val="auto"/>
        </w:rPr>
      </w:pPr>
    </w:p>
    <w:p>
      <w:pPr>
        <w:pStyle w:val="2"/>
        <w:ind w:left="480" w:firstLine="480"/>
        <w:rPr>
          <w:color w:val="auto"/>
        </w:rPr>
      </w:pPr>
    </w:p>
    <w:p>
      <w:pPr>
        <w:pStyle w:val="2"/>
        <w:ind w:left="480" w:firstLine="480"/>
        <w:rPr>
          <w:color w:val="auto"/>
        </w:rPr>
      </w:pPr>
    </w:p>
    <w:p>
      <w:pPr>
        <w:pStyle w:val="2"/>
        <w:ind w:left="480" w:firstLine="480"/>
        <w:rPr>
          <w:color w:val="auto"/>
        </w:rPr>
      </w:pPr>
    </w:p>
    <w:p>
      <w:pPr>
        <w:pStyle w:val="29"/>
        <w:spacing w:before="62" w:after="31"/>
        <w:rPr>
          <w:color w:val="auto"/>
        </w:rPr>
      </w:pPr>
      <w:r>
        <w:rPr>
          <w:rFonts w:hint="eastAsia"/>
          <w:color w:val="auto"/>
        </w:rPr>
        <w:t>图3</w:t>
      </w:r>
      <w:r>
        <w:rPr>
          <w:color w:val="auto"/>
        </w:rPr>
        <w:t>-1</w:t>
      </w:r>
      <w:r>
        <w:rPr>
          <w:rFonts w:hint="eastAsia"/>
          <w:color w:val="auto"/>
        </w:rPr>
        <w:t>本项目地理位置图</w:t>
      </w:r>
    </w:p>
    <w:p>
      <w:pPr>
        <w:spacing w:before="156" w:beforeLines="50" w:after="156" w:afterLines="50" w:line="240" w:lineRule="auto"/>
        <w:ind w:firstLine="0" w:firstLineChars="0"/>
        <w:jc w:val="center"/>
        <w:rPr>
          <w:rFonts w:cs="Times New Roman"/>
          <w:b/>
          <w:color w:val="auto"/>
          <w:sz w:val="21"/>
          <w:szCs w:val="32"/>
        </w:rPr>
      </w:pPr>
      <w:r>
        <w:rPr>
          <w:color w:val="auto"/>
        </w:rPr>
        <w:drawing>
          <wp:inline distT="0" distB="0" distL="114300" distR="114300">
            <wp:extent cx="4853940" cy="3543935"/>
            <wp:effectExtent l="0" t="0" r="3810" b="18415"/>
            <wp:docPr id="20" name="图片 20" descr="02519f49b23779c9e2202d3ed40d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2519f49b23779c9e2202d3ed40d811"/>
                    <pic:cNvPicPr>
                      <a:picLocks noChangeAspect="1"/>
                    </pic:cNvPicPr>
                  </pic:nvPicPr>
                  <pic:blipFill>
                    <a:blip r:embed="rId30"/>
                    <a:stretch>
                      <a:fillRect/>
                    </a:stretch>
                  </pic:blipFill>
                  <pic:spPr>
                    <a:xfrm>
                      <a:off x="0" y="0"/>
                      <a:ext cx="4853940" cy="3543935"/>
                    </a:xfrm>
                    <a:prstGeom prst="rect">
                      <a:avLst/>
                    </a:prstGeom>
                  </pic:spPr>
                </pic:pic>
              </a:graphicData>
            </a:graphic>
          </wp:inline>
        </w:drawing>
      </w:r>
    </w:p>
    <w:p>
      <w:pPr>
        <w:pStyle w:val="30"/>
        <w:spacing w:before="0" w:beforeLines="0" w:after="0" w:afterLines="0"/>
        <w:rPr>
          <w:bCs/>
          <w:color w:val="auto"/>
          <w:szCs w:val="36"/>
        </w:rPr>
      </w:pPr>
      <w:r>
        <w:rPr>
          <w:rFonts w:hint="eastAsia"/>
          <w:bCs/>
          <w:color w:val="auto"/>
          <w:szCs w:val="36"/>
        </w:rPr>
        <w:t>图3-2项目周围环境概况图</w:t>
      </w:r>
    </w:p>
    <w:p>
      <w:pPr>
        <w:pStyle w:val="42"/>
        <w:rPr>
          <w:color w:val="auto"/>
        </w:rPr>
      </w:pPr>
      <w:r>
        <w:rPr>
          <w:rFonts w:hint="eastAsia"/>
          <w:color w:val="auto"/>
        </w:rPr>
        <w:drawing>
          <wp:inline distT="0" distB="0" distL="114300" distR="114300">
            <wp:extent cx="4204970" cy="4653280"/>
            <wp:effectExtent l="0" t="0" r="5080" b="13970"/>
            <wp:docPr id="6" name="图片 6" descr="ff0795b431e75832faaa7a5e09d7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0795b431e75832faaa7a5e09d75b0"/>
                    <pic:cNvPicPr>
                      <a:picLocks noChangeAspect="1"/>
                    </pic:cNvPicPr>
                  </pic:nvPicPr>
                  <pic:blipFill>
                    <a:blip r:embed="rId31"/>
                    <a:stretch>
                      <a:fillRect/>
                    </a:stretch>
                  </pic:blipFill>
                  <pic:spPr>
                    <a:xfrm>
                      <a:off x="0" y="0"/>
                      <a:ext cx="4204970" cy="4653280"/>
                    </a:xfrm>
                    <a:prstGeom prst="rect">
                      <a:avLst/>
                    </a:prstGeom>
                  </pic:spPr>
                </pic:pic>
              </a:graphicData>
            </a:graphic>
          </wp:inline>
        </w:drawing>
      </w:r>
    </w:p>
    <w:p>
      <w:pPr>
        <w:pStyle w:val="30"/>
        <w:spacing w:before="0" w:beforeLines="0" w:after="0" w:afterLines="0"/>
        <w:rPr>
          <w:bCs/>
          <w:color w:val="auto"/>
          <w:szCs w:val="36"/>
        </w:rPr>
      </w:pPr>
      <w:r>
        <w:rPr>
          <w:rFonts w:hint="eastAsia"/>
          <w:bCs/>
          <w:color w:val="auto"/>
          <w:szCs w:val="36"/>
        </w:rPr>
        <w:t>图3-3项目厂区平面布置图</w:t>
      </w:r>
    </w:p>
    <w:p>
      <w:pPr>
        <w:pStyle w:val="5"/>
        <w:rPr>
          <w:rFonts w:cs="Times New Roman"/>
          <w:color w:val="auto"/>
          <w:szCs w:val="24"/>
        </w:rPr>
      </w:pPr>
      <w:bookmarkStart w:id="14" w:name="_Toc61958989"/>
      <w:bookmarkStart w:id="15" w:name="_Toc515273906"/>
      <w:r>
        <w:rPr>
          <w:rFonts w:cs="Times New Roman"/>
          <w:color w:val="auto"/>
          <w:szCs w:val="24"/>
        </w:rPr>
        <w:t>3.2建设内容</w:t>
      </w:r>
      <w:bookmarkEnd w:id="14"/>
      <w:bookmarkEnd w:id="15"/>
    </w:p>
    <w:p>
      <w:pPr>
        <w:ind w:firstLine="480"/>
        <w:rPr>
          <w:rFonts w:cs="Times New Roman"/>
          <w:color w:val="auto"/>
        </w:rPr>
      </w:pPr>
      <w:r>
        <w:rPr>
          <w:rFonts w:hint="eastAsia" w:cs="Times New Roman"/>
          <w:color w:val="auto"/>
        </w:rPr>
        <w:t>本项目为新建项目，公司在位于桐乡市梧桐街道环城北路198号的厂区内，实施年产600吨高档粗纺羊绒纱项目建设。本项目原计划投资5580万元，</w:t>
      </w:r>
      <w:r>
        <w:rPr>
          <w:rFonts w:hint="eastAsia" w:cs="Times New Roman"/>
          <w:color w:val="auto"/>
        </w:rPr>
        <w:t>实际投资</w:t>
      </w:r>
      <w:r>
        <w:rPr>
          <w:rFonts w:hint="eastAsia" w:cs="Times New Roman"/>
          <w:color w:val="auto"/>
          <w:lang w:eastAsia="zh-CN"/>
        </w:rPr>
        <w:t>3800</w:t>
      </w:r>
      <w:r>
        <w:rPr>
          <w:rFonts w:hint="eastAsia" w:cs="Times New Roman"/>
          <w:color w:val="auto"/>
        </w:rPr>
        <w:t>万元，其中环保投资37万元（环保投资占比为</w:t>
      </w:r>
      <w:r>
        <w:rPr>
          <w:rFonts w:hint="eastAsia" w:cs="Times New Roman"/>
          <w:color w:val="auto"/>
          <w:lang w:eastAsia="zh-CN"/>
        </w:rPr>
        <w:t>0.97%</w:t>
      </w:r>
      <w:r>
        <w:rPr>
          <w:rFonts w:hint="eastAsia" w:cs="Times New Roman"/>
          <w:color w:val="auto"/>
        </w:rPr>
        <w:t>）。</w:t>
      </w:r>
    </w:p>
    <w:p>
      <w:pPr>
        <w:ind w:firstLine="480"/>
        <w:rPr>
          <w:rFonts w:cs="Times New Roman"/>
          <w:color w:val="auto"/>
        </w:rPr>
      </w:pPr>
      <w:r>
        <w:rPr>
          <w:rFonts w:hint="eastAsia" w:cs="Times New Roman"/>
          <w:color w:val="auto"/>
        </w:rPr>
        <w:t>本项目审批生产规模为：年产600吨高档粗纺羊绒纱，实际建设内容与</w:t>
      </w:r>
      <w:r>
        <w:rPr>
          <w:color w:val="auto"/>
        </w:rPr>
        <w:t>环评及批复建设内容</w:t>
      </w:r>
      <w:r>
        <w:rPr>
          <w:rFonts w:hint="eastAsia"/>
          <w:color w:val="auto"/>
        </w:rPr>
        <w:t>基本一致，具体</w:t>
      </w:r>
      <w:r>
        <w:rPr>
          <w:color w:val="auto"/>
        </w:rPr>
        <w:t>见表3-1</w:t>
      </w:r>
      <w:r>
        <w:rPr>
          <w:rFonts w:hint="eastAsia"/>
          <w:color w:val="auto"/>
        </w:rPr>
        <w:t>。</w:t>
      </w:r>
    </w:p>
    <w:p>
      <w:pPr>
        <w:pStyle w:val="29"/>
        <w:spacing w:before="62" w:after="31"/>
        <w:rPr>
          <w:color w:val="auto"/>
        </w:rPr>
      </w:pPr>
      <w:r>
        <w:rPr>
          <w:rFonts w:hint="eastAsia"/>
          <w:color w:val="auto"/>
        </w:rPr>
        <w:t>表3-1环评及批复建设内容与实际建设内容对照一览表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1"/>
        <w:gridCol w:w="2328"/>
        <w:gridCol w:w="232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pct"/>
            <w:vAlign w:val="center"/>
          </w:tcPr>
          <w:p>
            <w:pPr>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项目名称</w:t>
            </w:r>
          </w:p>
        </w:tc>
        <w:tc>
          <w:tcPr>
            <w:tcW w:w="1334" w:type="pct"/>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环评及批复</w:t>
            </w:r>
            <w:r>
              <w:rPr>
                <w:rFonts w:hint="eastAsia" w:cs="Times New Roman"/>
                <w:b/>
                <w:bCs/>
                <w:color w:val="auto"/>
                <w:kern w:val="0"/>
                <w:sz w:val="21"/>
                <w:szCs w:val="21"/>
              </w:rPr>
              <w:t>生产规模</w:t>
            </w:r>
          </w:p>
        </w:tc>
        <w:tc>
          <w:tcPr>
            <w:tcW w:w="1334" w:type="pct"/>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实际</w:t>
            </w:r>
            <w:r>
              <w:rPr>
                <w:rFonts w:hint="eastAsia" w:cs="Times New Roman"/>
                <w:b/>
                <w:bCs/>
                <w:color w:val="auto"/>
                <w:kern w:val="0"/>
                <w:sz w:val="21"/>
                <w:szCs w:val="21"/>
              </w:rPr>
              <w:t>生产规模</w:t>
            </w:r>
          </w:p>
        </w:tc>
        <w:tc>
          <w:tcPr>
            <w:tcW w:w="913" w:type="pct"/>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pct"/>
            <w:vAlign w:val="center"/>
          </w:tcPr>
          <w:p>
            <w:pPr>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桐乡市鸿尔纺织有限公司年产600吨高档粗纺羊绒纱项目</w:t>
            </w:r>
          </w:p>
        </w:tc>
        <w:tc>
          <w:tcPr>
            <w:tcW w:w="1334" w:type="pct"/>
            <w:vAlign w:val="center"/>
          </w:tcPr>
          <w:p>
            <w:pPr>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年产600吨高档粗纺羊绒纱</w:t>
            </w:r>
          </w:p>
        </w:tc>
        <w:tc>
          <w:tcPr>
            <w:tcW w:w="1334" w:type="pct"/>
            <w:vAlign w:val="center"/>
          </w:tcPr>
          <w:p>
            <w:pPr>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年产</w:t>
            </w:r>
            <w:r>
              <w:rPr>
                <w:rFonts w:hint="eastAsia" w:cs="Times New Roman"/>
                <w:color w:val="auto"/>
                <w:kern w:val="0"/>
                <w:sz w:val="21"/>
                <w:szCs w:val="21"/>
                <w:lang w:val="en-US" w:eastAsia="zh-CN"/>
              </w:rPr>
              <w:t>600</w:t>
            </w:r>
            <w:r>
              <w:rPr>
                <w:rFonts w:hint="eastAsia" w:cs="Times New Roman"/>
                <w:color w:val="auto"/>
                <w:kern w:val="0"/>
                <w:sz w:val="21"/>
                <w:szCs w:val="21"/>
              </w:rPr>
              <w:t>吨高档粗纺羊绒纱</w:t>
            </w:r>
          </w:p>
        </w:tc>
        <w:tc>
          <w:tcPr>
            <w:tcW w:w="913" w:type="pct"/>
            <w:vAlign w:val="center"/>
          </w:tcPr>
          <w:p>
            <w:pPr>
              <w:spacing w:line="240" w:lineRule="auto"/>
              <w:ind w:firstLine="0" w:firstLineChars="0"/>
              <w:jc w:val="center"/>
              <w:rPr>
                <w:rFonts w:cs="Times New Roman"/>
                <w:color w:val="auto"/>
                <w:kern w:val="0"/>
                <w:sz w:val="21"/>
                <w:szCs w:val="21"/>
              </w:rPr>
            </w:pPr>
            <w:r>
              <w:rPr>
                <w:rFonts w:cs="Times New Roman"/>
                <w:color w:val="auto"/>
                <w:kern w:val="0"/>
                <w:sz w:val="21"/>
                <w:szCs w:val="21"/>
              </w:rPr>
              <w:t>本次验收项目</w:t>
            </w:r>
          </w:p>
        </w:tc>
      </w:tr>
    </w:tbl>
    <w:p>
      <w:pPr>
        <w:ind w:firstLine="480"/>
        <w:rPr>
          <w:color w:val="auto"/>
        </w:rPr>
      </w:pPr>
      <w:r>
        <w:rPr>
          <w:rFonts w:hint="eastAsia"/>
          <w:color w:val="auto"/>
        </w:rPr>
        <w:t>本项目</w:t>
      </w:r>
      <w:r>
        <w:rPr>
          <w:color w:val="auto"/>
        </w:rPr>
        <w:t>环评</w:t>
      </w:r>
      <w:r>
        <w:rPr>
          <w:rFonts w:hint="eastAsia"/>
          <w:color w:val="auto"/>
        </w:rPr>
        <w:t>报告中</w:t>
      </w:r>
      <w:r>
        <w:rPr>
          <w:color w:val="auto"/>
        </w:rPr>
        <w:t>设备</w:t>
      </w:r>
      <w:r>
        <w:rPr>
          <w:rFonts w:hint="eastAsia"/>
          <w:color w:val="auto"/>
        </w:rPr>
        <w:t>数量</w:t>
      </w:r>
      <w:r>
        <w:rPr>
          <w:color w:val="auto"/>
        </w:rPr>
        <w:t>及实际设备清单对照见表3-</w:t>
      </w:r>
      <w:r>
        <w:rPr>
          <w:rFonts w:hint="eastAsia"/>
          <w:color w:val="auto"/>
        </w:rPr>
        <w:t>2。</w:t>
      </w:r>
    </w:p>
    <w:p>
      <w:pPr>
        <w:pStyle w:val="29"/>
        <w:spacing w:before="62" w:after="31"/>
        <w:rPr>
          <w:color w:val="auto"/>
        </w:rPr>
      </w:pPr>
      <w:r>
        <w:rPr>
          <w:color w:val="auto"/>
        </w:rPr>
        <w:t>表3-</w:t>
      </w:r>
      <w:r>
        <w:rPr>
          <w:rFonts w:hint="eastAsia"/>
          <w:color w:val="auto"/>
        </w:rPr>
        <w:t>2</w:t>
      </w:r>
      <w:r>
        <w:rPr>
          <w:color w:val="auto"/>
        </w:rPr>
        <w:t>环评设备及实际设备清单对照一览表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1721"/>
        <w:gridCol w:w="740"/>
        <w:gridCol w:w="1501"/>
        <w:gridCol w:w="1614"/>
        <w:gridCol w:w="118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序号</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设备名称</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单位</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本项目环评审批新增数量</w:t>
            </w:r>
          </w:p>
        </w:tc>
        <w:tc>
          <w:tcPr>
            <w:tcW w:w="925"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目前实际新增数量</w:t>
            </w:r>
          </w:p>
        </w:tc>
        <w:tc>
          <w:tcPr>
            <w:tcW w:w="681"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变化情况</w:t>
            </w:r>
          </w:p>
        </w:tc>
        <w:tc>
          <w:tcPr>
            <w:tcW w:w="681"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1</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梳毛机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8</w:t>
            </w:r>
          </w:p>
        </w:tc>
        <w:tc>
          <w:tcPr>
            <w:tcW w:w="925" w:type="pct"/>
            <w:vAlign w:val="center"/>
          </w:tcPr>
          <w:p>
            <w:pPr>
              <w:pStyle w:val="42"/>
              <w:rPr>
                <w:color w:val="auto"/>
              </w:rPr>
            </w:pPr>
            <w:r>
              <w:rPr>
                <w:rFonts w:hint="eastAsia"/>
                <w:color w:val="auto"/>
              </w:rPr>
              <w:t>6</w:t>
            </w:r>
          </w:p>
        </w:tc>
        <w:tc>
          <w:tcPr>
            <w:tcW w:w="681" w:type="pct"/>
            <w:vAlign w:val="center"/>
          </w:tcPr>
          <w:p>
            <w:pPr>
              <w:pStyle w:val="42"/>
              <w:rPr>
                <w:color w:val="auto"/>
              </w:rPr>
            </w:pPr>
            <w:r>
              <w:rPr>
                <w:rFonts w:hint="eastAsia"/>
                <w:color w:val="auto"/>
              </w:rPr>
              <w:t>-2</w:t>
            </w:r>
          </w:p>
        </w:tc>
        <w:tc>
          <w:tcPr>
            <w:tcW w:w="681" w:type="pct"/>
            <w:vMerge w:val="restart"/>
            <w:vAlign w:val="center"/>
          </w:tcPr>
          <w:p>
            <w:pPr>
              <w:pStyle w:val="42"/>
              <w:rPr>
                <w:color w:val="auto"/>
              </w:rPr>
            </w:pPr>
            <w:r>
              <w:rPr>
                <w:rFonts w:hint="eastAsia"/>
                <w:color w:val="auto"/>
              </w:rPr>
              <w:t>本次验收项目相关设备情况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走架机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7</w:t>
            </w:r>
          </w:p>
        </w:tc>
        <w:tc>
          <w:tcPr>
            <w:tcW w:w="925" w:type="pct"/>
            <w:vAlign w:val="center"/>
          </w:tcPr>
          <w:p>
            <w:pPr>
              <w:pStyle w:val="42"/>
              <w:rPr>
                <w:color w:val="auto"/>
              </w:rPr>
            </w:pPr>
            <w:r>
              <w:rPr>
                <w:rFonts w:hint="eastAsia"/>
                <w:color w:val="auto"/>
              </w:rPr>
              <w:t>6</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络筒机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4</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槽筒机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5</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并线机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25" w:type="pct"/>
            <w:vAlign w:val="center"/>
          </w:tcPr>
          <w:p>
            <w:pPr>
              <w:pStyle w:val="42"/>
              <w:rPr>
                <w:color w:val="auto"/>
              </w:rPr>
            </w:pPr>
            <w:r>
              <w:rPr>
                <w:rFonts w:hint="eastAsia"/>
                <w:color w:val="auto"/>
              </w:rPr>
              <w:t>2</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6</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倍捻机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w:t>
            </w:r>
          </w:p>
        </w:tc>
        <w:tc>
          <w:tcPr>
            <w:tcW w:w="925" w:type="pct"/>
            <w:vAlign w:val="center"/>
          </w:tcPr>
          <w:p>
            <w:pPr>
              <w:pStyle w:val="42"/>
              <w:rPr>
                <w:color w:val="auto"/>
              </w:rPr>
            </w:pPr>
            <w:r>
              <w:rPr>
                <w:rFonts w:hint="eastAsia"/>
                <w:color w:val="auto"/>
              </w:rPr>
              <w:t>2</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bookmarkStart w:id="16" w:name="_Toc515273907"/>
            <w:bookmarkStart w:id="17" w:name="_Toc61958990"/>
            <w:r>
              <w:rPr>
                <w:rFonts w:hint="eastAsia"/>
                <w:color w:val="auto"/>
              </w:rPr>
              <w:t>7</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和毛机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25" w:type="pct"/>
            <w:vAlign w:val="center"/>
          </w:tcPr>
          <w:p>
            <w:pPr>
              <w:pStyle w:val="42"/>
              <w:rPr>
                <w:rFonts w:hint="eastAsia" w:eastAsia="宋体"/>
                <w:color w:val="auto"/>
                <w:lang w:eastAsia="zh-CN"/>
              </w:rPr>
            </w:pPr>
            <w:r>
              <w:rPr>
                <w:rFonts w:hint="eastAsia"/>
                <w:color w:val="auto"/>
              </w:rPr>
              <w:t>3</w:t>
            </w:r>
            <w:r>
              <w:rPr>
                <w:rFonts w:hint="eastAsia"/>
                <w:color w:val="auto"/>
                <w:lang w:eastAsia="zh-CN"/>
              </w:rPr>
              <w:t>（</w:t>
            </w:r>
            <w:r>
              <w:rPr>
                <w:rFonts w:hint="eastAsia"/>
                <w:color w:val="auto"/>
                <w:lang w:val="en-US" w:eastAsia="zh-CN"/>
              </w:rPr>
              <w:t>2用1备</w:t>
            </w:r>
            <w:r>
              <w:rPr>
                <w:rFonts w:hint="eastAsia"/>
                <w:color w:val="auto"/>
                <w:lang w:eastAsia="zh-CN"/>
              </w:rPr>
              <w:t>）</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8</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开松机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25" w:type="pct"/>
            <w:vAlign w:val="center"/>
          </w:tcPr>
          <w:p>
            <w:pPr>
              <w:pStyle w:val="42"/>
              <w:rPr>
                <w:color w:val="auto"/>
              </w:rPr>
            </w:pPr>
            <w:r>
              <w:rPr>
                <w:rFonts w:hint="eastAsia"/>
                <w:color w:val="auto"/>
              </w:rPr>
              <w:t>2</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9</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倒毛机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10</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和毛油水机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rFonts w:hint="eastAsia" w:eastAsia="宋体"/>
                <w:color w:val="auto"/>
                <w:lang w:eastAsia="zh-CN"/>
              </w:rPr>
            </w:pPr>
            <w:r>
              <w:rPr>
                <w:rFonts w:hint="eastAsia"/>
                <w:color w:val="auto"/>
              </w:rPr>
              <w:t>2</w:t>
            </w:r>
            <w:r>
              <w:rPr>
                <w:rFonts w:hint="eastAsia"/>
                <w:color w:val="auto"/>
                <w:lang w:eastAsia="zh-CN"/>
              </w:rPr>
              <w:t>（</w:t>
            </w:r>
            <w:r>
              <w:rPr>
                <w:rFonts w:hint="eastAsia"/>
                <w:color w:val="auto"/>
                <w:lang w:val="en-US" w:eastAsia="zh-CN"/>
              </w:rPr>
              <w:t>1用1备</w:t>
            </w:r>
            <w:r>
              <w:rPr>
                <w:rFonts w:hint="eastAsia"/>
                <w:color w:val="auto"/>
                <w:lang w:eastAsia="zh-CN"/>
              </w:rPr>
              <w:t>）</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11</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空压机</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台</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-1</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12</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加湿器</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套</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13</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检测设备</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套</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14</w:t>
            </w:r>
          </w:p>
        </w:tc>
        <w:tc>
          <w:tcPr>
            <w:tcW w:w="98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箱式变电站</w:t>
            </w:r>
          </w:p>
        </w:tc>
        <w:tc>
          <w:tcPr>
            <w:tcW w:w="42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个</w:t>
            </w:r>
          </w:p>
        </w:tc>
        <w:tc>
          <w:tcPr>
            <w:tcW w:w="860"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p>
        </w:tc>
        <w:tc>
          <w:tcPr>
            <w:tcW w:w="925" w:type="pct"/>
            <w:vAlign w:val="center"/>
          </w:tcPr>
          <w:p>
            <w:pPr>
              <w:pStyle w:val="42"/>
              <w:rPr>
                <w:color w:val="auto"/>
              </w:rPr>
            </w:pPr>
            <w:r>
              <w:rPr>
                <w:rFonts w:hint="eastAsia"/>
                <w:color w:val="auto"/>
              </w:rPr>
              <w:t>1</w:t>
            </w:r>
          </w:p>
        </w:tc>
        <w:tc>
          <w:tcPr>
            <w:tcW w:w="681" w:type="pct"/>
            <w:vAlign w:val="center"/>
          </w:tcPr>
          <w:p>
            <w:pPr>
              <w:pStyle w:val="42"/>
              <w:rPr>
                <w:color w:val="auto"/>
              </w:rPr>
            </w:pPr>
            <w:r>
              <w:rPr>
                <w:rFonts w:hint="eastAsia"/>
                <w:color w:val="auto"/>
              </w:rPr>
              <w:t>0</w:t>
            </w:r>
          </w:p>
        </w:tc>
        <w:tc>
          <w:tcPr>
            <w:tcW w:w="681" w:type="pct"/>
            <w:vMerge w:val="continue"/>
          </w:tcPr>
          <w:p>
            <w:pPr>
              <w:pStyle w:val="42"/>
              <w:rPr>
                <w:color w:val="auto"/>
              </w:rPr>
            </w:pPr>
          </w:p>
        </w:tc>
      </w:tr>
    </w:tbl>
    <w:p>
      <w:pPr>
        <w:spacing w:before="156" w:beforeLines="50"/>
        <w:ind w:firstLine="480"/>
        <w:rPr>
          <w:color w:val="auto"/>
        </w:rPr>
      </w:pPr>
      <w:r>
        <w:rPr>
          <w:rFonts w:hint="eastAsia"/>
          <w:color w:val="auto"/>
        </w:rPr>
        <w:t>我公司员工合计53人，年工作</w:t>
      </w:r>
      <w:r>
        <w:rPr>
          <w:color w:val="auto"/>
        </w:rPr>
        <w:t>300</w:t>
      </w:r>
      <w:r>
        <w:rPr>
          <w:rFonts w:hint="eastAsia"/>
          <w:color w:val="auto"/>
        </w:rPr>
        <w:t>天，实行两班制生产，每班工作时间为12小时</w:t>
      </w:r>
      <w:r>
        <w:rPr>
          <w:color w:val="auto"/>
        </w:rPr>
        <w:t>。</w:t>
      </w:r>
      <w:r>
        <w:rPr>
          <w:rFonts w:hint="eastAsia"/>
          <w:color w:val="auto"/>
        </w:rPr>
        <w:t>公司设置有员工食堂。</w:t>
      </w:r>
    </w:p>
    <w:p>
      <w:pPr>
        <w:pStyle w:val="5"/>
        <w:rPr>
          <w:rFonts w:cs="Times New Roman"/>
          <w:color w:val="auto"/>
          <w:szCs w:val="24"/>
        </w:rPr>
      </w:pPr>
      <w:r>
        <w:rPr>
          <w:rFonts w:cs="Times New Roman"/>
          <w:color w:val="auto"/>
          <w:szCs w:val="24"/>
        </w:rPr>
        <w:t>3.3主要原辅材料</w:t>
      </w:r>
      <w:bookmarkEnd w:id="16"/>
      <w:bookmarkEnd w:id="17"/>
    </w:p>
    <w:p>
      <w:pPr>
        <w:ind w:firstLine="480"/>
        <w:rPr>
          <w:rFonts w:cs="Times New Roman"/>
          <w:color w:val="auto"/>
        </w:rPr>
      </w:pPr>
      <w:r>
        <w:rPr>
          <w:rFonts w:hint="eastAsia" w:cs="Times New Roman"/>
          <w:color w:val="auto"/>
        </w:rPr>
        <w:t>本项目环评报告中</w:t>
      </w:r>
      <w:r>
        <w:rPr>
          <w:rFonts w:cs="Times New Roman"/>
          <w:color w:val="auto"/>
        </w:rPr>
        <w:t>主要物料及能源消耗</w:t>
      </w:r>
      <w:r>
        <w:rPr>
          <w:rFonts w:hint="eastAsia" w:cs="Times New Roman"/>
          <w:color w:val="auto"/>
        </w:rPr>
        <w:t>及实际消耗情况对照</w:t>
      </w:r>
      <w:r>
        <w:rPr>
          <w:rFonts w:cs="Times New Roman"/>
          <w:color w:val="auto"/>
        </w:rPr>
        <w:t>见表3-</w:t>
      </w:r>
      <w:r>
        <w:rPr>
          <w:rFonts w:hint="eastAsia" w:cs="Times New Roman"/>
          <w:color w:val="auto"/>
        </w:rPr>
        <w:t>3</w:t>
      </w:r>
      <w:r>
        <w:rPr>
          <w:rFonts w:cs="Times New Roman"/>
          <w:color w:val="auto"/>
        </w:rPr>
        <w:t>。</w:t>
      </w:r>
    </w:p>
    <w:p>
      <w:pPr>
        <w:pStyle w:val="30"/>
        <w:spacing w:before="62" w:after="31"/>
        <w:rPr>
          <w:color w:val="auto"/>
        </w:rPr>
      </w:pPr>
    </w:p>
    <w:p>
      <w:pPr>
        <w:pStyle w:val="30"/>
        <w:spacing w:before="62" w:after="31"/>
        <w:rPr>
          <w:color w:val="auto"/>
        </w:rPr>
      </w:pPr>
    </w:p>
    <w:p>
      <w:pPr>
        <w:pStyle w:val="30"/>
        <w:spacing w:before="62" w:after="31"/>
        <w:rPr>
          <w:color w:val="auto"/>
        </w:rPr>
      </w:pPr>
      <w:r>
        <w:rPr>
          <w:color w:val="auto"/>
        </w:rPr>
        <w:t>表3-</w:t>
      </w:r>
      <w:r>
        <w:rPr>
          <w:rFonts w:hint="eastAsia"/>
          <w:color w:val="auto"/>
        </w:rPr>
        <w:t>3本项目</w:t>
      </w:r>
      <w:r>
        <w:rPr>
          <w:color w:val="auto"/>
        </w:rPr>
        <w:t>主要原辅材料及能源消耗一览表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240"/>
        <w:gridCol w:w="1214"/>
        <w:gridCol w:w="1821"/>
        <w:gridCol w:w="1338"/>
        <w:gridCol w:w="121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bookmarkStart w:id="18" w:name="_Hlk80867529"/>
            <w:r>
              <w:rPr>
                <w:rFonts w:hint="eastAsia"/>
                <w:b/>
                <w:bCs/>
                <w:color w:val="auto"/>
              </w:rPr>
              <w:t>序号</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原辅材料名称</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单位</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本项目环评审批年</w:t>
            </w:r>
            <w:r>
              <w:rPr>
                <w:b/>
                <w:bCs/>
                <w:color w:val="auto"/>
              </w:rPr>
              <w:t>消耗量</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目前实际</w:t>
            </w:r>
          </w:p>
          <w:p>
            <w:pPr>
              <w:pStyle w:val="42"/>
              <w:rPr>
                <w:b/>
                <w:bCs/>
                <w:color w:val="auto"/>
              </w:rPr>
            </w:pPr>
            <w:r>
              <w:rPr>
                <w:rFonts w:hint="eastAsia"/>
                <w:b/>
                <w:bCs/>
                <w:color w:val="auto"/>
              </w:rPr>
              <w:t>年消耗量</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原辅料消耗增减量</w:t>
            </w:r>
          </w:p>
        </w:tc>
        <w:tc>
          <w:tcPr>
            <w:tcW w:w="692"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1</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rFonts w:hint="eastAsia"/>
                <w:color w:val="auto"/>
                <w:lang w:bidi="ar"/>
              </w:rPr>
              <w:t>羊绒</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bCs/>
                <w:color w:val="auto"/>
              </w:rPr>
              <w:t>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rFonts w:hint="eastAsia"/>
                <w:color w:val="auto"/>
                <w:lang w:bidi="ar"/>
              </w:rPr>
              <w:t>200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bidi="ar"/>
              </w:rPr>
            </w:pPr>
            <w:r>
              <w:rPr>
                <w:rFonts w:hint="eastAsia"/>
                <w:color w:val="auto"/>
                <w:lang w:val="en-US" w:eastAsia="zh-CN" w:bidi="ar"/>
              </w:rPr>
              <w:t>200.65</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bidi="ar"/>
              </w:rPr>
            </w:pPr>
            <w:r>
              <w:rPr>
                <w:rFonts w:hint="eastAsia"/>
                <w:color w:val="auto"/>
                <w:lang w:val="en-US" w:eastAsia="zh-CN" w:bidi="ar"/>
              </w:rPr>
              <w:t>+0.65</w:t>
            </w:r>
          </w:p>
        </w:tc>
        <w:tc>
          <w:tcPr>
            <w:tcW w:w="692" w:type="pct"/>
            <w:vMerge w:val="restart"/>
            <w:tcBorders>
              <w:top w:val="single" w:color="auto" w:sz="4" w:space="0"/>
              <w:left w:val="single" w:color="auto" w:sz="4" w:space="0"/>
              <w:right w:val="single" w:color="auto" w:sz="4" w:space="0"/>
            </w:tcBorders>
            <w:vAlign w:val="center"/>
          </w:tcPr>
          <w:p>
            <w:pPr>
              <w:pStyle w:val="42"/>
              <w:rPr>
                <w:color w:val="auto"/>
              </w:rPr>
            </w:pPr>
            <w:r>
              <w:rPr>
                <w:rFonts w:hint="eastAsia"/>
                <w:color w:val="auto"/>
                <w:lang w:bidi="ar"/>
              </w:rPr>
              <w:t>本次验收项目相关原辅材料消耗情况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rFonts w:hint="eastAsia"/>
                <w:color w:val="auto"/>
                <w:lang w:bidi="ar"/>
              </w:rPr>
              <w:t>羊毛</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bCs/>
                <w:color w:val="auto"/>
              </w:rPr>
              <w:t>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rFonts w:hint="eastAsia"/>
                <w:color w:val="auto"/>
                <w:lang w:bidi="ar"/>
              </w:rPr>
              <w:t>200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bidi="ar"/>
              </w:rPr>
            </w:pPr>
            <w:r>
              <w:rPr>
                <w:rFonts w:hint="eastAsia"/>
                <w:color w:val="auto"/>
                <w:lang w:val="en-US" w:eastAsia="zh-CN" w:bidi="ar"/>
              </w:rPr>
              <w:t>200.65</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lang w:bidi="ar"/>
              </w:rPr>
            </w:pPr>
            <w:r>
              <w:rPr>
                <w:rFonts w:hint="eastAsia"/>
                <w:color w:val="auto"/>
                <w:lang w:val="en-US" w:eastAsia="zh-CN" w:bidi="ar"/>
              </w:rPr>
              <w:t>+0.65</w:t>
            </w:r>
          </w:p>
        </w:tc>
        <w:tc>
          <w:tcPr>
            <w:tcW w:w="692" w:type="pct"/>
            <w:vMerge w:val="continue"/>
            <w:tcBorders>
              <w:left w:val="single" w:color="auto" w:sz="4" w:space="0"/>
              <w:right w:val="single" w:color="auto" w:sz="4" w:space="0"/>
            </w:tcBorders>
            <w:vAlign w:val="center"/>
          </w:tcPr>
          <w:p>
            <w:pPr>
              <w:pStyle w:val="42"/>
              <w:rPr>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丝</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bCs/>
                <w:color w:val="auto"/>
              </w:rPr>
              <w:t>t</w:t>
            </w:r>
            <w:r>
              <w:rPr>
                <w:bCs/>
                <w:color w:val="auto"/>
              </w:rPr>
              <w: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100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rPr>
            </w:pPr>
            <w:r>
              <w:rPr>
                <w:rFonts w:hint="eastAsia"/>
                <w:color w:val="auto"/>
                <w:lang w:val="en-US" w:eastAsia="zh-CN"/>
              </w:rPr>
              <w:t>100.45</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rPr>
            </w:pPr>
            <w:r>
              <w:rPr>
                <w:rFonts w:hint="eastAsia"/>
                <w:color w:val="auto"/>
                <w:lang w:val="en-US" w:eastAsia="zh-CN"/>
              </w:rPr>
              <w:t>+0.45</w:t>
            </w:r>
          </w:p>
        </w:tc>
        <w:tc>
          <w:tcPr>
            <w:tcW w:w="692" w:type="pct"/>
            <w:vMerge w:val="continue"/>
            <w:tcBorders>
              <w:left w:val="single" w:color="auto" w:sz="4" w:space="0"/>
              <w:right w:val="single" w:color="auto" w:sz="4" w:space="0"/>
            </w:tcBorders>
            <w:vAlign w:val="center"/>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4</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szCs w:val="21"/>
              </w:rPr>
            </w:pPr>
            <w:r>
              <w:rPr>
                <w:rFonts w:hint="eastAsia"/>
                <w:color w:val="auto"/>
                <w:szCs w:val="21"/>
              </w:rPr>
              <w:t>化纤</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100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rPr>
            </w:pPr>
            <w:r>
              <w:rPr>
                <w:rFonts w:hint="eastAsia"/>
                <w:color w:val="auto"/>
                <w:szCs w:val="21"/>
                <w:lang w:val="en-US" w:eastAsia="zh-CN"/>
              </w:rPr>
              <w:t>100.45</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rFonts w:hint="default" w:eastAsia="宋体"/>
                <w:color w:val="auto"/>
                <w:lang w:val="en-US" w:eastAsia="zh-CN"/>
              </w:rPr>
            </w:pPr>
            <w:r>
              <w:rPr>
                <w:rFonts w:hint="eastAsia"/>
                <w:color w:val="auto"/>
                <w:lang w:val="en-US" w:eastAsia="zh-CN"/>
              </w:rPr>
              <w:t>+0.45</w:t>
            </w:r>
          </w:p>
        </w:tc>
        <w:tc>
          <w:tcPr>
            <w:tcW w:w="692" w:type="pct"/>
            <w:vMerge w:val="continue"/>
            <w:tcBorders>
              <w:left w:val="single" w:color="auto" w:sz="4" w:space="0"/>
              <w:right w:val="single" w:color="auto" w:sz="4" w:space="0"/>
            </w:tcBorders>
            <w:vAlign w:val="center"/>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5</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szCs w:val="21"/>
              </w:rPr>
            </w:pPr>
            <w:r>
              <w:rPr>
                <w:rFonts w:hint="eastAsia"/>
                <w:color w:val="auto"/>
                <w:szCs w:val="21"/>
              </w:rPr>
              <w:t>和毛油</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5</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rFonts w:hint="eastAsia" w:eastAsia="宋体"/>
                <w:color w:val="auto"/>
                <w:lang w:eastAsia="zh-CN"/>
              </w:rPr>
            </w:pPr>
            <w:r>
              <w:rPr>
                <w:rFonts w:hint="eastAsia"/>
                <w:color w:val="auto"/>
                <w:szCs w:val="21"/>
                <w:lang w:val="en-US" w:eastAsia="zh-CN"/>
              </w:rPr>
              <w:t>5</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rFonts w:hint="eastAsia" w:eastAsia="宋体"/>
                <w:color w:val="auto"/>
                <w:lang w:eastAsia="zh-CN"/>
              </w:rPr>
            </w:pPr>
            <w:r>
              <w:rPr>
                <w:rFonts w:hint="eastAsia"/>
                <w:color w:val="auto"/>
                <w:lang w:val="en-US" w:eastAsia="zh-CN"/>
              </w:rPr>
              <w:t>0</w:t>
            </w:r>
          </w:p>
        </w:tc>
        <w:tc>
          <w:tcPr>
            <w:tcW w:w="692" w:type="pct"/>
            <w:vMerge w:val="continue"/>
            <w:tcBorders>
              <w:left w:val="single" w:color="auto" w:sz="4" w:space="0"/>
              <w:right w:val="single" w:color="auto" w:sz="4" w:space="0"/>
            </w:tcBorders>
            <w:vAlign w:val="center"/>
          </w:tcPr>
          <w:p>
            <w:pPr>
              <w:pStyle w:val="4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bookmarkStart w:id="19" w:name="_Toc61958991"/>
            <w:bookmarkStart w:id="20" w:name="_Toc515273908"/>
            <w:r>
              <w:rPr>
                <w:rFonts w:hint="eastAsia"/>
                <w:color w:val="auto"/>
              </w:rPr>
              <w:t>6</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szCs w:val="21"/>
              </w:rPr>
            </w:pPr>
            <w:r>
              <w:rPr>
                <w:rFonts w:hint="eastAsia"/>
                <w:color w:val="auto"/>
              </w:rPr>
              <w:t>水</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t/a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3600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szCs w:val="21"/>
              </w:rPr>
              <w:t>2520</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-1080</w:t>
            </w:r>
          </w:p>
        </w:tc>
        <w:tc>
          <w:tcPr>
            <w:tcW w:w="692" w:type="pct"/>
            <w:vMerge w:val="restart"/>
            <w:tcBorders>
              <w:left w:val="single" w:color="auto" w:sz="4" w:space="0"/>
              <w:right w:val="single" w:color="auto" w:sz="4" w:space="0"/>
            </w:tcBorders>
            <w:vAlign w:val="center"/>
          </w:tcPr>
          <w:p>
            <w:pPr>
              <w:pStyle w:val="42"/>
              <w:rPr>
                <w:color w:val="auto"/>
              </w:rPr>
            </w:pPr>
            <w:r>
              <w:rPr>
                <w:rFonts w:hint="eastAsia"/>
                <w:color w:val="auto"/>
              </w:rPr>
              <w:t>全厂能源消耗情况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7</w:t>
            </w:r>
          </w:p>
        </w:tc>
        <w:tc>
          <w:tcPr>
            <w:tcW w:w="711" w:type="pct"/>
            <w:tcBorders>
              <w:top w:val="single" w:color="auto" w:sz="4" w:space="0"/>
              <w:left w:val="single" w:color="auto" w:sz="4" w:space="0"/>
              <w:bottom w:val="single" w:color="auto" w:sz="4" w:space="0"/>
              <w:right w:val="single" w:color="auto" w:sz="4" w:space="0"/>
            </w:tcBorders>
            <w:vAlign w:val="center"/>
          </w:tcPr>
          <w:p>
            <w:pPr>
              <w:pStyle w:val="42"/>
              <w:rPr>
                <w:color w:val="auto"/>
                <w:szCs w:val="21"/>
              </w:rPr>
            </w:pPr>
            <w:r>
              <w:rPr>
                <w:rFonts w:hint="eastAsia"/>
                <w:color w:val="auto"/>
              </w:rPr>
              <w:t>电</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万</w:t>
            </w:r>
            <w:r>
              <w:rPr>
                <w:color w:val="auto"/>
              </w:rPr>
              <w:t>kWh/a</w:t>
            </w:r>
          </w:p>
        </w:tc>
        <w:tc>
          <w:tcPr>
            <w:tcW w:w="104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350</w:t>
            </w:r>
          </w:p>
        </w:tc>
        <w:tc>
          <w:tcPr>
            <w:tcW w:w="767"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szCs w:val="21"/>
              </w:rPr>
              <w:t>150</w:t>
            </w:r>
          </w:p>
        </w:tc>
        <w:tc>
          <w:tcPr>
            <w:tcW w:w="696"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-200</w:t>
            </w:r>
          </w:p>
        </w:tc>
        <w:tc>
          <w:tcPr>
            <w:tcW w:w="692" w:type="pct"/>
            <w:vMerge w:val="continue"/>
            <w:tcBorders>
              <w:left w:val="single" w:color="auto" w:sz="4" w:space="0"/>
              <w:bottom w:val="single" w:color="auto" w:sz="4" w:space="0"/>
              <w:right w:val="single" w:color="auto" w:sz="4" w:space="0"/>
            </w:tcBorders>
          </w:tcPr>
          <w:p>
            <w:pPr>
              <w:pStyle w:val="42"/>
              <w:rPr>
                <w:color w:val="auto"/>
              </w:rPr>
            </w:pPr>
          </w:p>
        </w:tc>
      </w:tr>
      <w:bookmarkEnd w:id="18"/>
    </w:tbl>
    <w:p>
      <w:pPr>
        <w:pStyle w:val="5"/>
        <w:rPr>
          <w:color w:val="auto"/>
        </w:rPr>
      </w:pPr>
      <w:r>
        <w:rPr>
          <w:color w:val="auto"/>
          <w:szCs w:val="24"/>
        </w:rPr>
        <w:t>3.4</w:t>
      </w:r>
      <w:bookmarkEnd w:id="19"/>
      <w:bookmarkEnd w:id="20"/>
      <w:r>
        <w:rPr>
          <w:rFonts w:hint="eastAsia"/>
          <w:color w:val="auto"/>
        </w:rPr>
        <w:t>用水情况</w:t>
      </w:r>
    </w:p>
    <w:p>
      <w:pPr>
        <w:ind w:firstLine="480"/>
        <w:rPr>
          <w:rFonts w:cs="Times New Roman"/>
          <w:color w:val="auto"/>
        </w:rPr>
      </w:pPr>
      <w:r>
        <w:rPr>
          <w:rFonts w:hint="eastAsia"/>
          <w:color w:val="auto"/>
        </w:rPr>
        <w:t>公司</w:t>
      </w:r>
      <w:r>
        <w:rPr>
          <w:color w:val="auto"/>
        </w:rPr>
        <w:t>用水由</w:t>
      </w:r>
      <w:r>
        <w:rPr>
          <w:rFonts w:hint="eastAsia"/>
          <w:color w:val="auto"/>
        </w:rPr>
        <w:t>桐乡市</w:t>
      </w:r>
      <w:r>
        <w:rPr>
          <w:color w:val="auto"/>
        </w:rPr>
        <w:t>自来水</w:t>
      </w:r>
      <w:r>
        <w:rPr>
          <w:rFonts w:hint="eastAsia"/>
          <w:color w:val="auto"/>
        </w:rPr>
        <w:t>管网</w:t>
      </w:r>
      <w:r>
        <w:rPr>
          <w:color w:val="auto"/>
        </w:rPr>
        <w:t>提供。</w:t>
      </w:r>
      <w:r>
        <w:rPr>
          <w:rFonts w:cs="Times New Roman"/>
          <w:color w:val="auto"/>
        </w:rPr>
        <w:t>根据</w:t>
      </w:r>
      <w:r>
        <w:rPr>
          <w:rFonts w:hint="eastAsia" w:cs="Times New Roman"/>
          <w:color w:val="auto"/>
        </w:rPr>
        <w:t>公司自来水水表数据显示，我公司202</w:t>
      </w:r>
      <w:r>
        <w:rPr>
          <w:rFonts w:cs="Times New Roman"/>
          <w:color w:val="auto"/>
        </w:rPr>
        <w:t>1</w:t>
      </w:r>
      <w:r>
        <w:rPr>
          <w:rFonts w:hint="eastAsia" w:cs="Times New Roman"/>
          <w:color w:val="auto"/>
        </w:rPr>
        <w:t>年9月18日-11月16日的用水量合计为</w:t>
      </w:r>
      <w:r>
        <w:rPr>
          <w:rFonts w:cs="Times New Roman"/>
          <w:color w:val="auto"/>
        </w:rPr>
        <w:t>4</w:t>
      </w:r>
      <w:r>
        <w:rPr>
          <w:rFonts w:hint="eastAsia" w:cs="Times New Roman"/>
          <w:color w:val="auto"/>
        </w:rPr>
        <w:t>2</w:t>
      </w:r>
      <w:r>
        <w:rPr>
          <w:rFonts w:cs="Times New Roman"/>
          <w:color w:val="auto"/>
        </w:rPr>
        <w:t>0</w:t>
      </w:r>
      <w:r>
        <w:rPr>
          <w:rFonts w:hint="eastAsia" w:cs="Times New Roman"/>
          <w:color w:val="auto"/>
        </w:rPr>
        <w:t>t，期间工作天数为</w:t>
      </w:r>
      <w:r>
        <w:rPr>
          <w:rFonts w:cs="Times New Roman"/>
          <w:color w:val="auto"/>
        </w:rPr>
        <w:t>50</w:t>
      </w:r>
      <w:r>
        <w:rPr>
          <w:rFonts w:hint="eastAsia" w:cs="Times New Roman"/>
          <w:color w:val="auto"/>
        </w:rPr>
        <w:t>天，公司全年工作时间为</w:t>
      </w:r>
      <w:r>
        <w:rPr>
          <w:rFonts w:cs="Times New Roman"/>
          <w:color w:val="auto"/>
        </w:rPr>
        <w:t>300</w:t>
      </w:r>
      <w:r>
        <w:rPr>
          <w:rFonts w:hint="eastAsia" w:cs="Times New Roman"/>
          <w:color w:val="auto"/>
        </w:rPr>
        <w:t>天，折算为</w:t>
      </w:r>
      <w:r>
        <w:rPr>
          <w:rFonts w:cs="Times New Roman"/>
          <w:color w:val="auto"/>
        </w:rPr>
        <w:t>全年用水量</w:t>
      </w:r>
      <w:r>
        <w:rPr>
          <w:rFonts w:hint="eastAsia" w:cs="Times New Roman"/>
          <w:color w:val="auto"/>
        </w:rPr>
        <w:t>约为2520t</w:t>
      </w:r>
      <w:r>
        <w:rPr>
          <w:rFonts w:cs="Times New Roman"/>
          <w:color w:val="auto"/>
        </w:rPr>
        <w:t>/</w:t>
      </w:r>
      <w:r>
        <w:rPr>
          <w:rFonts w:hint="eastAsia" w:cs="Times New Roman"/>
          <w:color w:val="auto"/>
        </w:rPr>
        <w:t>a。</w:t>
      </w:r>
    </w:p>
    <w:p>
      <w:pPr>
        <w:ind w:firstLine="480"/>
        <w:rPr>
          <w:color w:val="auto"/>
        </w:rPr>
      </w:pPr>
      <w:r>
        <w:rPr>
          <w:rFonts w:hint="eastAsia" w:cs="Times New Roman"/>
          <w:color w:val="auto"/>
        </w:rPr>
        <w:t>公司全厂营运过程中不涉及生产用水，全厂用水主要用于员工生活，</w:t>
      </w:r>
      <w:r>
        <w:rPr>
          <w:rFonts w:hint="eastAsia"/>
          <w:color w:val="auto"/>
        </w:rPr>
        <w:t>生活污水产生量按用水量的9</w:t>
      </w:r>
      <w:r>
        <w:rPr>
          <w:color w:val="auto"/>
        </w:rPr>
        <w:t>0</w:t>
      </w:r>
      <w:r>
        <w:rPr>
          <w:rFonts w:hint="eastAsia"/>
          <w:color w:val="auto"/>
        </w:rPr>
        <w:t>%计，则公司全厂生活污水产生量约为2268t/a，经化粪池、隔油池预处理达到《污水综合排放标准》（GB</w:t>
      </w:r>
      <w:r>
        <w:rPr>
          <w:color w:val="auto"/>
        </w:rPr>
        <w:t>8978-1996</w:t>
      </w:r>
      <w:r>
        <w:rPr>
          <w:rFonts w:hint="eastAsia"/>
          <w:color w:val="auto"/>
        </w:rPr>
        <w:t>）表4中的三级标准及《工业企业废水氮、磷污染物间接排放限值》（DB</w:t>
      </w:r>
      <w:r>
        <w:rPr>
          <w:color w:val="auto"/>
        </w:rPr>
        <w:t>33/887-2013</w:t>
      </w:r>
      <w:r>
        <w:rPr>
          <w:rFonts w:hint="eastAsia"/>
          <w:color w:val="auto"/>
        </w:rPr>
        <w:t>）表1中工业企业水污染物间接排放限值相关规定后纳入市政污水管网，废水排放量为2268t/a，最终经桐乡市城市污水处理有限责任公司集中处理达到《城镇污水处理厂污染物排放标准》（GB</w:t>
      </w:r>
      <w:r>
        <w:rPr>
          <w:color w:val="auto"/>
        </w:rPr>
        <w:t>18918-2002</w:t>
      </w:r>
      <w:r>
        <w:rPr>
          <w:rFonts w:hint="eastAsia"/>
          <w:color w:val="auto"/>
        </w:rPr>
        <w:t>）表1中一级A标准后排放钱塘江。</w:t>
      </w:r>
    </w:p>
    <w:p>
      <w:pPr>
        <w:pStyle w:val="2"/>
        <w:ind w:left="0" w:leftChars="0" w:firstLine="0" w:firstLineChars="0"/>
        <w:rPr>
          <w:color w:val="auto"/>
        </w:rPr>
      </w:pPr>
      <w:r>
        <w:rPr>
          <w:rFonts w:hint="eastAsia"/>
          <w:color w:val="auto"/>
        </w:rPr>
        <w:drawing>
          <wp:inline distT="0" distB="0" distL="114300" distR="114300">
            <wp:extent cx="5485130" cy="1202055"/>
            <wp:effectExtent l="0" t="0" r="1270" b="17145"/>
            <wp:docPr id="1" name="图片 1" descr="164022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0220654(1)"/>
                    <pic:cNvPicPr>
                      <a:picLocks noChangeAspect="1"/>
                    </pic:cNvPicPr>
                  </pic:nvPicPr>
                  <pic:blipFill>
                    <a:blip r:embed="rId32"/>
                    <a:stretch>
                      <a:fillRect/>
                    </a:stretch>
                  </pic:blipFill>
                  <pic:spPr>
                    <a:xfrm>
                      <a:off x="0" y="0"/>
                      <a:ext cx="5485130" cy="1202055"/>
                    </a:xfrm>
                    <a:prstGeom prst="rect">
                      <a:avLst/>
                    </a:prstGeom>
                  </pic:spPr>
                </pic:pic>
              </a:graphicData>
            </a:graphic>
          </wp:inline>
        </w:drawing>
      </w:r>
    </w:p>
    <w:p>
      <w:pPr>
        <w:pStyle w:val="30"/>
        <w:spacing w:before="62" w:after="31"/>
        <w:rPr>
          <w:color w:val="auto"/>
        </w:rPr>
      </w:pPr>
      <w:r>
        <w:rPr>
          <w:rFonts w:hint="eastAsia"/>
          <w:color w:val="auto"/>
        </w:rPr>
        <w:t>图</w:t>
      </w:r>
      <w:r>
        <w:rPr>
          <w:rFonts w:hint="eastAsia"/>
          <w:color w:val="auto"/>
          <w:szCs w:val="21"/>
        </w:rPr>
        <w:t>3</w:t>
      </w:r>
      <w:r>
        <w:rPr>
          <w:color w:val="auto"/>
          <w:szCs w:val="21"/>
        </w:rPr>
        <w:t>-4</w:t>
      </w:r>
      <w:r>
        <w:rPr>
          <w:rFonts w:hint="eastAsia"/>
          <w:color w:val="auto"/>
        </w:rPr>
        <w:t>公司全厂水平衡图</w:t>
      </w:r>
    </w:p>
    <w:p>
      <w:pPr>
        <w:pStyle w:val="5"/>
        <w:rPr>
          <w:color w:val="auto"/>
        </w:rPr>
      </w:pPr>
      <w:bookmarkStart w:id="21" w:name="_Toc515273909"/>
      <w:bookmarkStart w:id="22" w:name="_Toc61958992"/>
      <w:r>
        <w:rPr>
          <w:color w:val="auto"/>
        </w:rPr>
        <w:t>3.5生产工艺</w:t>
      </w:r>
      <w:bookmarkEnd w:id="21"/>
      <w:bookmarkEnd w:id="22"/>
    </w:p>
    <w:p>
      <w:pPr>
        <w:pStyle w:val="6"/>
        <w:rPr>
          <w:color w:val="auto"/>
        </w:rPr>
      </w:pPr>
      <w:r>
        <w:rPr>
          <w:rFonts w:hint="eastAsia"/>
          <w:color w:val="auto"/>
        </w:rPr>
        <w:t>3</w:t>
      </w:r>
      <w:r>
        <w:rPr>
          <w:color w:val="auto"/>
        </w:rPr>
        <w:t>.5.1</w:t>
      </w:r>
      <w:r>
        <w:rPr>
          <w:rFonts w:hint="eastAsia"/>
          <w:color w:val="auto"/>
        </w:rPr>
        <w:t>生产工艺流程</w:t>
      </w:r>
    </w:p>
    <w:p>
      <w:pPr>
        <w:ind w:firstLine="480"/>
        <w:rPr>
          <w:rFonts w:cs="Times New Roman"/>
          <w:color w:val="auto"/>
        </w:rPr>
      </w:pPr>
      <w:r>
        <w:rPr>
          <w:rFonts w:hint="eastAsia" w:cs="Times New Roman"/>
          <w:color w:val="auto"/>
        </w:rPr>
        <w:t>本项目主要从事高档粗纺羊绒纱的生产</w:t>
      </w:r>
      <w:r>
        <w:rPr>
          <w:rFonts w:hint="eastAsia"/>
          <w:color w:val="auto"/>
        </w:rPr>
        <w:t>，</w:t>
      </w:r>
      <w:r>
        <w:rPr>
          <w:rFonts w:hint="eastAsia" w:cs="Times New Roman"/>
          <w:color w:val="auto"/>
        </w:rPr>
        <w:t>具体生产</w:t>
      </w:r>
      <w:r>
        <w:rPr>
          <w:rFonts w:cs="Times New Roman"/>
          <w:color w:val="auto"/>
        </w:rPr>
        <w:t>工艺见图3-5。</w:t>
      </w:r>
    </w:p>
    <w:p>
      <w:pPr>
        <w:ind w:firstLine="482"/>
        <w:rPr>
          <w:color w:val="auto"/>
        </w:rPr>
      </w:pPr>
      <w:r>
        <w:rPr>
          <w:rFonts w:hint="eastAsia" w:cs="Times New Roman"/>
          <w:b/>
          <w:bCs/>
          <w:color w:val="auto"/>
        </w:rPr>
        <w:t>高档粗纺羊绒纱</w:t>
      </w:r>
      <w:r>
        <w:rPr>
          <w:rFonts w:hint="eastAsia"/>
          <w:b/>
          <w:bCs/>
          <w:color w:val="auto"/>
        </w:rPr>
        <w:t xml:space="preserve">生产工艺流程：         </w:t>
      </w:r>
    </w:p>
    <w:p>
      <w:pPr>
        <w:tabs>
          <w:tab w:val="left" w:pos="360"/>
          <w:tab w:val="left" w:pos="540"/>
        </w:tabs>
        <w:ind w:firstLine="0" w:firstLineChars="0"/>
        <w:jc w:val="center"/>
        <w:rPr>
          <w:bCs/>
          <w:color w:val="auto"/>
          <w:kern w:val="0"/>
        </w:rPr>
      </w:pPr>
      <w:r>
        <w:rPr>
          <w:rFonts w:hint="eastAsia"/>
          <w:bCs/>
          <w:color w:val="auto"/>
          <w:kern w:val="0"/>
        </w:rPr>
        <w:drawing>
          <wp:inline distT="0" distB="0" distL="114300" distR="114300">
            <wp:extent cx="5391150" cy="2725420"/>
            <wp:effectExtent l="0" t="0" r="0" b="17780"/>
            <wp:docPr id="31" name="图片 31" descr="粉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粉尘"/>
                    <pic:cNvPicPr>
                      <a:picLocks noChangeAspect="1"/>
                    </pic:cNvPicPr>
                  </pic:nvPicPr>
                  <pic:blipFill>
                    <a:blip r:embed="rId33"/>
                    <a:stretch>
                      <a:fillRect/>
                    </a:stretch>
                  </pic:blipFill>
                  <pic:spPr>
                    <a:xfrm>
                      <a:off x="0" y="0"/>
                      <a:ext cx="5391150" cy="2725420"/>
                    </a:xfrm>
                    <a:prstGeom prst="rect">
                      <a:avLst/>
                    </a:prstGeom>
                  </pic:spPr>
                </pic:pic>
              </a:graphicData>
            </a:graphic>
          </wp:inline>
        </w:drawing>
      </w:r>
    </w:p>
    <w:p>
      <w:pPr>
        <w:pStyle w:val="30"/>
        <w:spacing w:before="62" w:after="31"/>
        <w:rPr>
          <w:color w:val="auto"/>
        </w:rPr>
      </w:pPr>
      <w:r>
        <w:rPr>
          <w:rFonts w:hint="eastAsia"/>
          <w:color w:val="auto"/>
        </w:rPr>
        <w:t>图</w:t>
      </w:r>
      <w:r>
        <w:rPr>
          <w:color w:val="auto"/>
        </w:rPr>
        <w:t>3-5</w:t>
      </w:r>
      <w:r>
        <w:rPr>
          <w:rFonts w:hint="eastAsia"/>
          <w:color w:val="auto"/>
        </w:rPr>
        <w:t>高档粗纺羊绒纱生产工艺流程及产污环节图</w:t>
      </w:r>
    </w:p>
    <w:p>
      <w:pPr>
        <w:ind w:firstLine="480"/>
        <w:rPr>
          <w:color w:val="auto"/>
        </w:rPr>
      </w:pPr>
      <w:bookmarkStart w:id="23" w:name="_Toc515273910"/>
      <w:r>
        <w:rPr>
          <w:rFonts w:hint="eastAsia"/>
          <w:color w:val="auto"/>
        </w:rPr>
        <w:t>主要工艺流程说明：</w:t>
      </w:r>
    </w:p>
    <w:p>
      <w:pPr>
        <w:ind w:firstLine="480"/>
        <w:rPr>
          <w:color w:val="auto"/>
        </w:rPr>
      </w:pPr>
      <w:r>
        <w:rPr>
          <w:rFonts w:hint="eastAsia"/>
          <w:color w:val="auto"/>
        </w:rPr>
        <w:t>(1)和毛：为了减少羊毛、化纤在生产过程中因经常反复拉伸而造成纤维的损伤及静电而产生飞毛现象，因此需加入一定比例的和毛油，以降低摩擦系数、减少或消除因此而产生的静电，从而增加纤维的抱合力，以提高产品质量和制成率。</w:t>
      </w:r>
    </w:p>
    <w:p>
      <w:pPr>
        <w:ind w:firstLine="480"/>
        <w:rPr>
          <w:color w:val="auto"/>
        </w:rPr>
      </w:pPr>
      <w:r>
        <w:rPr>
          <w:rFonts w:hint="eastAsia"/>
          <w:color w:val="auto"/>
        </w:rPr>
        <w:t>(2)开松：用开松机使丝束均匀伸展为符合工艺要求的匀质纤维网，其基本作用是扯松、打松和除杂。</w:t>
      </w:r>
    </w:p>
    <w:p>
      <w:pPr>
        <w:ind w:firstLine="480"/>
        <w:rPr>
          <w:color w:val="auto"/>
        </w:rPr>
      </w:pPr>
      <w:r>
        <w:rPr>
          <w:rFonts w:hint="eastAsia"/>
          <w:color w:val="auto"/>
        </w:rPr>
        <w:t>(3)梳棉：原料纤维在和油后还存在小块、小束，混合作用也只是毛块之间的混合，因此需要梳棉机对原料进行进一步的梳理，使得原料从原来的小块、小束逐渐分解为单根纤维状，同时在梳理过程中去除杂质，并使不同长度、不同性质、不同色泽、纤维充分混合。最后，通过梳棉机的分梳、混合后，聚集成根粗细、结构均匀，具有一定单位重量的连续性条子，为下一道工序作好准备。</w:t>
      </w:r>
    </w:p>
    <w:p>
      <w:pPr>
        <w:ind w:firstLine="480"/>
        <w:rPr>
          <w:color w:val="auto"/>
        </w:rPr>
      </w:pPr>
      <w:r>
        <w:rPr>
          <w:rFonts w:hint="eastAsia"/>
          <w:color w:val="auto"/>
        </w:rPr>
        <w:t>(4)并条：经梳棉机梳出的条子结构松散，纤维排列紊乱，星弯曲状态，平行度差，且存在弯钩。为了提高条子的品质，必须经一道、二道、三道工序进行理条，条子经三次混合后，各成分纤维分布更均匀，条干更均匀。</w:t>
      </w:r>
    </w:p>
    <w:p>
      <w:pPr>
        <w:ind w:firstLine="480"/>
        <w:rPr>
          <w:color w:val="auto"/>
        </w:rPr>
      </w:pPr>
      <w:r>
        <w:rPr>
          <w:rFonts w:hint="eastAsia"/>
          <w:color w:val="auto"/>
        </w:rPr>
        <w:t>(5)粗纱：使用粗纱机，把纤维条制成粗纱，主要作用是牵伸和加拈，井把粗纱卷绕成一定的卷装，以适应细纱机加工的要求。</w:t>
      </w:r>
    </w:p>
    <w:p>
      <w:pPr>
        <w:ind w:firstLine="480"/>
        <w:rPr>
          <w:color w:val="auto"/>
        </w:rPr>
      </w:pPr>
      <w:r>
        <w:rPr>
          <w:rFonts w:hint="eastAsia"/>
          <w:color w:val="auto"/>
        </w:rPr>
        <w:t>(6)细纱：把半制品粗纱或条子经牵伸、加拈、卷绕成细纱管纱。</w:t>
      </w:r>
    </w:p>
    <w:p>
      <w:pPr>
        <w:ind w:firstLine="480"/>
        <w:rPr>
          <w:color w:val="auto"/>
        </w:rPr>
      </w:pPr>
      <w:r>
        <w:rPr>
          <w:rFonts w:hint="eastAsia"/>
          <w:color w:val="auto"/>
        </w:rPr>
        <w:t>(7)络筒：将来自纺部的管纱或绞纱在络简机上加工成符合一定要求的简子。</w:t>
      </w:r>
    </w:p>
    <w:p>
      <w:pPr>
        <w:ind w:firstLine="480"/>
        <w:rPr>
          <w:color w:val="auto"/>
        </w:rPr>
      </w:pPr>
      <w:r>
        <w:rPr>
          <w:rFonts w:hint="eastAsia"/>
          <w:color w:val="auto"/>
        </w:rPr>
        <w:t>(8)并线：根据原料的性质配置适当的张力，二或三根并合。</w:t>
      </w:r>
    </w:p>
    <w:p>
      <w:pPr>
        <w:ind w:firstLine="480"/>
        <w:rPr>
          <w:color w:val="auto"/>
        </w:rPr>
      </w:pPr>
      <w:r>
        <w:rPr>
          <w:rFonts w:hint="eastAsia"/>
          <w:color w:val="auto"/>
        </w:rPr>
        <w:t>(9)倍捻：把两股或两股以上的单纱通过加抢粘合成股线，并且增强原纱的性能，以达到客户的需求。</w:t>
      </w:r>
    </w:p>
    <w:p>
      <w:pPr>
        <w:ind w:firstLine="480"/>
        <w:rPr>
          <w:color w:val="auto"/>
        </w:rPr>
      </w:pPr>
      <w:r>
        <w:rPr>
          <w:rFonts w:hint="eastAsia"/>
          <w:color w:val="auto"/>
        </w:rPr>
        <w:t>(10)槽筒：根据客户要求清除并线、倍捻上附入的飞花，保证质量。</w:t>
      </w:r>
    </w:p>
    <w:p>
      <w:pPr>
        <w:pStyle w:val="6"/>
        <w:rPr>
          <w:color w:val="auto"/>
        </w:rPr>
      </w:pPr>
      <w:r>
        <w:rPr>
          <w:rFonts w:hint="eastAsia"/>
          <w:color w:val="auto"/>
        </w:rPr>
        <w:t>3.5.2主要污染工序</w:t>
      </w:r>
    </w:p>
    <w:p>
      <w:pPr>
        <w:ind w:firstLine="480"/>
        <w:rPr>
          <w:color w:val="auto"/>
        </w:rPr>
      </w:pPr>
      <w:r>
        <w:rPr>
          <w:rFonts w:hint="eastAsia"/>
          <w:color w:val="auto"/>
        </w:rPr>
        <w:t>本项目主要污染工序及污染因子见下表。</w:t>
      </w:r>
    </w:p>
    <w:p>
      <w:pPr>
        <w:pStyle w:val="29"/>
        <w:spacing w:before="62" w:after="31"/>
        <w:rPr>
          <w:color w:val="auto"/>
        </w:rPr>
      </w:pPr>
      <w:r>
        <w:rPr>
          <w:rFonts w:hint="eastAsia"/>
          <w:color w:val="auto"/>
        </w:rPr>
        <w:t>表3-3主要污染工序</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2473"/>
        <w:gridCol w:w="248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项目</w:t>
            </w: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污染物类型</w:t>
            </w:r>
          </w:p>
        </w:tc>
        <w:tc>
          <w:tcPr>
            <w:tcW w:w="1422"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污染工序</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op w:val="single" w:color="auto" w:sz="4" w:space="0"/>
              <w:left w:val="single" w:color="auto" w:sz="4" w:space="0"/>
              <w:bottom w:val="single" w:color="auto" w:sz="4" w:space="0"/>
              <w:right w:val="single" w:color="auto" w:sz="4" w:space="0"/>
            </w:tcBorders>
            <w:vAlign w:val="center"/>
          </w:tcPr>
          <w:p>
            <w:pPr>
              <w:pStyle w:val="42"/>
              <w:rPr>
                <w:bCs/>
                <w:color w:val="auto"/>
              </w:rPr>
            </w:pPr>
            <w:r>
              <w:rPr>
                <w:rFonts w:hint="eastAsia"/>
                <w:bCs/>
                <w:color w:val="auto"/>
              </w:rPr>
              <w:t>废水</w:t>
            </w: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bCs/>
                <w:color w:val="auto"/>
              </w:rPr>
            </w:pPr>
            <w:r>
              <w:rPr>
                <w:rFonts w:hint="eastAsia"/>
                <w:bCs/>
                <w:color w:val="auto"/>
              </w:rPr>
              <w:t>生活污水</w:t>
            </w:r>
          </w:p>
        </w:tc>
        <w:tc>
          <w:tcPr>
            <w:tcW w:w="1422" w:type="pct"/>
            <w:tcBorders>
              <w:top w:val="single" w:color="auto" w:sz="4" w:space="0"/>
              <w:left w:val="single" w:color="auto" w:sz="4" w:space="0"/>
              <w:bottom w:val="single" w:color="auto" w:sz="4" w:space="0"/>
              <w:right w:val="single" w:color="auto" w:sz="4" w:space="0"/>
            </w:tcBorders>
            <w:vAlign w:val="center"/>
          </w:tcPr>
          <w:p>
            <w:pPr>
              <w:pStyle w:val="42"/>
              <w:rPr>
                <w:bCs/>
                <w:color w:val="auto"/>
              </w:rPr>
            </w:pPr>
            <w:r>
              <w:rPr>
                <w:rFonts w:hint="eastAsia"/>
                <w:bCs/>
                <w:color w:val="auto"/>
              </w:rPr>
              <w:t>职工生活</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bCs/>
                <w:color w:val="auto"/>
              </w:rPr>
            </w:pPr>
            <w:r>
              <w:rPr>
                <w:rFonts w:hint="eastAsia"/>
                <w:bCs/>
                <w:color w:val="auto"/>
              </w:rPr>
              <w:t>COD</w:t>
            </w:r>
            <w:r>
              <w:rPr>
                <w:rFonts w:hint="eastAsia"/>
                <w:bCs/>
                <w:color w:val="auto"/>
                <w:vertAlign w:val="subscript"/>
              </w:rPr>
              <w:t>Cr</w:t>
            </w:r>
            <w:r>
              <w:rPr>
                <w:rFonts w:hint="eastAsia"/>
                <w:bCs/>
                <w:color w:val="auto"/>
              </w:rPr>
              <w:t>、NH</w:t>
            </w:r>
            <w:r>
              <w:rPr>
                <w:rFonts w:hint="eastAsia"/>
                <w:bCs/>
                <w:color w:val="auto"/>
                <w:vertAlign w:val="subscript"/>
              </w:rPr>
              <w:t>3</w:t>
            </w:r>
            <w:r>
              <w:rPr>
                <w:rFonts w:hint="eastAsia"/>
                <w:bCs/>
                <w:color w:val="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restart"/>
            <w:tcBorders>
              <w:left w:val="single" w:color="auto" w:sz="4" w:space="0"/>
              <w:right w:val="single" w:color="auto" w:sz="4" w:space="0"/>
            </w:tcBorders>
            <w:vAlign w:val="center"/>
          </w:tcPr>
          <w:p>
            <w:pPr>
              <w:pStyle w:val="42"/>
              <w:rPr>
                <w:color w:val="auto"/>
              </w:rPr>
            </w:pPr>
            <w:r>
              <w:rPr>
                <w:rFonts w:hint="eastAsia"/>
                <w:color w:val="auto"/>
              </w:rPr>
              <w:t>废气</w:t>
            </w: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纤维粉尘</w:t>
            </w:r>
          </w:p>
        </w:tc>
        <w:tc>
          <w:tcPr>
            <w:tcW w:w="1422"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生产过程</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left w:val="single" w:color="auto" w:sz="4" w:space="0"/>
              <w:right w:val="single" w:color="auto" w:sz="4" w:space="0"/>
            </w:tcBorders>
            <w:vAlign w:val="center"/>
          </w:tcPr>
          <w:p>
            <w:pPr>
              <w:pStyle w:val="42"/>
              <w:rPr>
                <w:color w:val="auto"/>
              </w:rPr>
            </w:pP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和毛油剂废气</w:t>
            </w:r>
          </w:p>
        </w:tc>
        <w:tc>
          <w:tcPr>
            <w:tcW w:w="1422"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生产过程</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left w:val="single" w:color="auto" w:sz="4" w:space="0"/>
              <w:bottom w:val="single" w:color="auto" w:sz="4" w:space="0"/>
              <w:right w:val="single" w:color="auto" w:sz="4" w:space="0"/>
            </w:tcBorders>
            <w:vAlign w:val="center"/>
          </w:tcPr>
          <w:p>
            <w:pPr>
              <w:pStyle w:val="42"/>
              <w:rPr>
                <w:color w:val="auto"/>
              </w:rPr>
            </w:pP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食堂油烟</w:t>
            </w:r>
          </w:p>
        </w:tc>
        <w:tc>
          <w:tcPr>
            <w:tcW w:w="142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职工生活</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食堂油烟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restar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固废</w:t>
            </w:r>
          </w:p>
        </w:tc>
        <w:tc>
          <w:tcPr>
            <w:tcW w:w="1418"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废包装材料</w:t>
            </w:r>
          </w:p>
        </w:tc>
        <w:tc>
          <w:tcPr>
            <w:tcW w:w="1422"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原料使用</w:t>
            </w:r>
          </w:p>
        </w:tc>
        <w:tc>
          <w:tcPr>
            <w:tcW w:w="1495"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塑料膜、袋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left w:val="single" w:color="auto" w:sz="4" w:space="0"/>
              <w:right w:val="single" w:color="auto" w:sz="4" w:space="0"/>
            </w:tcBorders>
            <w:vAlign w:val="center"/>
          </w:tcPr>
          <w:p>
            <w:pPr>
              <w:pStyle w:val="42"/>
              <w:rPr>
                <w:color w:val="auto"/>
              </w:rPr>
            </w:pPr>
          </w:p>
        </w:tc>
        <w:tc>
          <w:tcPr>
            <w:tcW w:w="1418"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废丝</w:t>
            </w:r>
          </w:p>
        </w:tc>
        <w:tc>
          <w:tcPr>
            <w:tcW w:w="1422"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生产过程</w:t>
            </w:r>
          </w:p>
        </w:tc>
        <w:tc>
          <w:tcPr>
            <w:tcW w:w="1495"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废丝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left w:val="single" w:color="auto" w:sz="4" w:space="0"/>
              <w:right w:val="single" w:color="auto" w:sz="4" w:space="0"/>
            </w:tcBorders>
            <w:vAlign w:val="center"/>
          </w:tcPr>
          <w:p>
            <w:pPr>
              <w:pStyle w:val="42"/>
              <w:rPr>
                <w:color w:val="auto"/>
              </w:rPr>
            </w:pPr>
          </w:p>
        </w:tc>
        <w:tc>
          <w:tcPr>
            <w:tcW w:w="1418"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收集的纤维粉尘</w:t>
            </w:r>
          </w:p>
        </w:tc>
        <w:tc>
          <w:tcPr>
            <w:tcW w:w="1422"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生产过程</w:t>
            </w:r>
          </w:p>
        </w:tc>
        <w:tc>
          <w:tcPr>
            <w:tcW w:w="1495" w:type="pct"/>
            <w:tcBorders>
              <w:top w:val="single" w:color="auto" w:sz="4" w:space="0"/>
              <w:left w:val="single" w:color="auto" w:sz="4" w:space="0"/>
              <w:right w:val="single" w:color="auto" w:sz="4" w:space="0"/>
            </w:tcBorders>
            <w:vAlign w:val="center"/>
          </w:tcPr>
          <w:p>
            <w:pPr>
              <w:pStyle w:val="42"/>
              <w:rPr>
                <w:color w:val="auto"/>
              </w:rPr>
            </w:pPr>
            <w:r>
              <w:rPr>
                <w:rFonts w:hint="eastAsia"/>
                <w:color w:val="auto"/>
              </w:rPr>
              <w:t>纤维粉尘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left w:val="single" w:color="auto" w:sz="4" w:space="0"/>
              <w:bottom w:val="single" w:color="auto" w:sz="4" w:space="0"/>
              <w:right w:val="single" w:color="auto" w:sz="4" w:space="0"/>
            </w:tcBorders>
            <w:vAlign w:val="center"/>
          </w:tcPr>
          <w:p>
            <w:pPr>
              <w:pStyle w:val="42"/>
              <w:rPr>
                <w:color w:val="auto"/>
              </w:rPr>
            </w:pP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生活垃圾</w:t>
            </w:r>
          </w:p>
        </w:tc>
        <w:tc>
          <w:tcPr>
            <w:tcW w:w="142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职工生活</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噪声</w:t>
            </w:r>
          </w:p>
        </w:tc>
        <w:tc>
          <w:tcPr>
            <w:tcW w:w="141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机械噪声</w:t>
            </w:r>
          </w:p>
        </w:tc>
        <w:tc>
          <w:tcPr>
            <w:tcW w:w="142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生产设备、配套设备等</w:t>
            </w:r>
          </w:p>
        </w:tc>
        <w:tc>
          <w:tcPr>
            <w:tcW w:w="1495"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Leq（A）</w:t>
            </w:r>
          </w:p>
        </w:tc>
      </w:tr>
    </w:tbl>
    <w:p>
      <w:pPr>
        <w:pStyle w:val="5"/>
        <w:spacing w:before="156" w:beforeLines="50"/>
        <w:rPr>
          <w:rFonts w:cs="Times New Roman" w:eastAsiaTheme="minorEastAsia"/>
          <w:color w:val="auto"/>
          <w:szCs w:val="24"/>
        </w:rPr>
      </w:pPr>
      <w:bookmarkStart w:id="24" w:name="_Toc61958993"/>
      <w:r>
        <w:rPr>
          <w:rFonts w:cs="Times New Roman"/>
          <w:color w:val="auto"/>
          <w:szCs w:val="24"/>
        </w:rPr>
        <w:t>3.6项目变动情况</w:t>
      </w:r>
      <w:bookmarkEnd w:id="23"/>
      <w:bookmarkEnd w:id="24"/>
    </w:p>
    <w:p>
      <w:pPr>
        <w:ind w:firstLine="480"/>
        <w:jc w:val="left"/>
        <w:rPr>
          <w:rFonts w:hint="eastAsia" w:cs="Times New Roman"/>
          <w:color w:val="auto"/>
        </w:rPr>
      </w:pPr>
      <w:r>
        <w:rPr>
          <w:rFonts w:hint="eastAsia" w:cs="Times New Roman"/>
          <w:color w:val="auto"/>
        </w:rPr>
        <w:t>经自查，</w:t>
      </w:r>
      <w:bookmarkStart w:id="25" w:name="_Hlk68175386"/>
      <w:r>
        <w:rPr>
          <w:rFonts w:hint="eastAsia" w:cs="Times New Roman"/>
          <w:color w:val="auto"/>
        </w:rPr>
        <w:t>桐乡市鸿尔纺织有限公司年产600吨高档粗纺羊绒纱项目在实施过程中，</w:t>
      </w:r>
      <w:bookmarkEnd w:id="25"/>
      <w:r>
        <w:rPr>
          <w:rFonts w:eastAsia="宋体" w:cs="Times New Roman"/>
          <w:color w:val="auto"/>
        </w:rPr>
        <w:t>部分内容发生变化，具体情况如下：</w:t>
      </w:r>
    </w:p>
    <w:p>
      <w:pPr>
        <w:pStyle w:val="8"/>
        <w:rPr>
          <w:rFonts w:hint="eastAsia" w:cs="Times New Roman"/>
          <w:color w:val="auto"/>
        </w:rPr>
      </w:pPr>
      <w:r>
        <w:rPr>
          <w:rFonts w:hint="eastAsia" w:cs="Times New Roman"/>
          <w:color w:val="auto"/>
        </w:rPr>
        <w:t>（1）本项目</w:t>
      </w:r>
      <w:r>
        <w:rPr>
          <w:rFonts w:hint="eastAsia"/>
          <w:color w:val="auto"/>
        </w:rPr>
        <w:t>生产</w:t>
      </w:r>
      <w:r>
        <w:rPr>
          <w:color w:val="auto"/>
        </w:rPr>
        <w:t>设备有所调整</w:t>
      </w:r>
      <w:r>
        <w:rPr>
          <w:rFonts w:hint="eastAsia" w:cs="Times New Roman"/>
          <w:color w:val="auto"/>
        </w:rPr>
        <w:t>，减少梳毛机2台、走架机1台、络筒机1台、倍捻机1台、空压机1台，增加和毛机1台</w:t>
      </w:r>
      <w:r>
        <w:rPr>
          <w:rFonts w:hint="eastAsia" w:cs="Times New Roman"/>
          <w:color w:val="auto"/>
          <w:lang w:eastAsia="zh-CN"/>
        </w:rPr>
        <w:t>（</w:t>
      </w:r>
      <w:r>
        <w:rPr>
          <w:rFonts w:hint="eastAsia" w:cs="Times New Roman"/>
          <w:color w:val="auto"/>
          <w:lang w:val="en-US" w:eastAsia="zh-CN"/>
        </w:rPr>
        <w:t>备用</w:t>
      </w:r>
      <w:r>
        <w:rPr>
          <w:rFonts w:hint="eastAsia" w:cs="Times New Roman"/>
          <w:color w:val="auto"/>
          <w:lang w:eastAsia="zh-CN"/>
        </w:rPr>
        <w:t>）</w:t>
      </w:r>
      <w:r>
        <w:rPr>
          <w:rFonts w:hint="eastAsia" w:cs="Times New Roman"/>
          <w:color w:val="auto"/>
        </w:rPr>
        <w:t>、和毛油水机1台</w:t>
      </w:r>
      <w:r>
        <w:rPr>
          <w:rFonts w:hint="eastAsia" w:cs="Times New Roman"/>
          <w:color w:val="auto"/>
          <w:lang w:eastAsia="zh-CN"/>
        </w:rPr>
        <w:t>（</w:t>
      </w:r>
      <w:r>
        <w:rPr>
          <w:rFonts w:hint="eastAsia" w:cs="Times New Roman"/>
          <w:color w:val="auto"/>
          <w:lang w:val="en-US" w:eastAsia="zh-CN"/>
        </w:rPr>
        <w:t>备用</w:t>
      </w:r>
      <w:r>
        <w:rPr>
          <w:rFonts w:hint="eastAsia" w:cs="Times New Roman"/>
          <w:color w:val="auto"/>
          <w:lang w:eastAsia="zh-CN"/>
        </w:rPr>
        <w:t>）</w:t>
      </w:r>
      <w:r>
        <w:rPr>
          <w:rFonts w:hint="eastAsia" w:cs="Times New Roman"/>
          <w:color w:val="auto"/>
        </w:rPr>
        <w:t>，企业生产设备调整后，企业实际产能未发生变化，对照《纺织印染建设项目重大变动清单（试行）》，该项变动不属于重大变化。</w:t>
      </w:r>
    </w:p>
    <w:p>
      <w:pPr>
        <w:pStyle w:val="8"/>
        <w:rPr>
          <w:rFonts w:hint="eastAsia" w:eastAsia="宋体" w:cs="Times New Roman"/>
          <w:color w:val="auto"/>
        </w:rPr>
      </w:pPr>
      <w:r>
        <w:rPr>
          <w:rFonts w:hint="eastAsia" w:cs="Times New Roman"/>
          <w:color w:val="auto"/>
        </w:rPr>
        <w:t>（2）</w:t>
      </w:r>
      <w:r>
        <w:rPr>
          <w:rFonts w:hint="eastAsia"/>
          <w:color w:val="auto"/>
        </w:rPr>
        <w:t>企业</w:t>
      </w:r>
      <w:r>
        <w:rPr>
          <w:color w:val="auto"/>
        </w:rPr>
        <w:t>原来拟建的工业厂房</w:t>
      </w:r>
      <w:r>
        <w:rPr>
          <w:rFonts w:hint="eastAsia"/>
          <w:color w:val="auto"/>
        </w:rPr>
        <w:t>未</w:t>
      </w:r>
      <w:r>
        <w:rPr>
          <w:color w:val="auto"/>
        </w:rPr>
        <w:t>建设，因此厂区平面布置有所调整</w:t>
      </w:r>
      <w:r>
        <w:rPr>
          <w:rFonts w:hint="eastAsia"/>
          <w:color w:val="auto"/>
        </w:rPr>
        <w:t>。由于本项目无需设置环境</w:t>
      </w:r>
      <w:r>
        <w:rPr>
          <w:color w:val="auto"/>
        </w:rPr>
        <w:t>防护距离，</w:t>
      </w:r>
      <w:r>
        <w:rPr>
          <w:rFonts w:hint="eastAsia"/>
          <w:color w:val="auto"/>
        </w:rPr>
        <w:t>且</w:t>
      </w:r>
      <w:r>
        <w:rPr>
          <w:color w:val="auto"/>
        </w:rPr>
        <w:t>厂界周边</w:t>
      </w:r>
      <w:r>
        <w:rPr>
          <w:rFonts w:hint="eastAsia"/>
          <w:color w:val="auto"/>
        </w:rPr>
        <w:t>100m范围</w:t>
      </w:r>
      <w:r>
        <w:rPr>
          <w:color w:val="auto"/>
        </w:rPr>
        <w:t>内无环境敏感点，因此本项目</w:t>
      </w:r>
      <w:r>
        <w:rPr>
          <w:rFonts w:hint="eastAsia"/>
          <w:color w:val="auto"/>
        </w:rPr>
        <w:t>厂区</w:t>
      </w:r>
      <w:r>
        <w:rPr>
          <w:color w:val="auto"/>
        </w:rPr>
        <w:t>平面布置调整后</w:t>
      </w:r>
      <w:r>
        <w:rPr>
          <w:rFonts w:hint="eastAsia" w:eastAsia="宋体" w:cs="Times New Roman"/>
          <w:color w:val="auto"/>
        </w:rPr>
        <w:t>对照《纺织印染建设项目重大变动清单（试行）》，该项</w:t>
      </w:r>
      <w:r>
        <w:rPr>
          <w:rFonts w:eastAsia="宋体" w:cs="Times New Roman"/>
          <w:color w:val="auto"/>
        </w:rPr>
        <w:t>变动</w:t>
      </w:r>
      <w:r>
        <w:rPr>
          <w:rFonts w:hint="eastAsia" w:eastAsia="宋体" w:cs="Times New Roman"/>
          <w:color w:val="auto"/>
        </w:rPr>
        <w:t>不属于重大变化。</w:t>
      </w:r>
    </w:p>
    <w:p>
      <w:pPr>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cs="Times New Roman"/>
          <w:color w:val="auto"/>
        </w:rPr>
      </w:pPr>
      <w:r>
        <w:rPr>
          <w:rFonts w:hint="eastAsia" w:cs="Times New Roman"/>
          <w:color w:val="auto"/>
          <w:lang w:val="en-US" w:eastAsia="zh-CN"/>
        </w:rPr>
        <w:t>综上，</w:t>
      </w:r>
      <w:r>
        <w:rPr>
          <w:rFonts w:hint="eastAsia" w:cs="Times New Roman"/>
          <w:color w:val="auto"/>
        </w:rPr>
        <w:t>本项目的性质、规模、地点、生产工艺和环境保护措施五个方面均未构成重大变动。</w:t>
      </w:r>
    </w:p>
    <w:p>
      <w:pPr>
        <w:pStyle w:val="2"/>
        <w:ind w:left="480" w:firstLine="480"/>
        <w:rPr>
          <w:color w:val="auto"/>
        </w:rPr>
      </w:pPr>
    </w:p>
    <w:p>
      <w:pPr>
        <w:pStyle w:val="4"/>
        <w:rPr>
          <w:color w:val="auto"/>
        </w:rPr>
        <w:sectPr>
          <w:pgSz w:w="11906" w:h="16838"/>
          <w:pgMar w:top="1418" w:right="1701" w:bottom="1418" w:left="1701" w:header="851" w:footer="992" w:gutter="0"/>
          <w:pgNumType w:fmt="numberInDash"/>
          <w:cols w:space="425" w:num="1"/>
          <w:titlePg/>
          <w:docGrid w:type="lines" w:linePitch="312" w:charSpace="0"/>
        </w:sectPr>
      </w:pPr>
      <w:bookmarkStart w:id="26" w:name="_Toc61958994"/>
      <w:bookmarkStart w:id="27" w:name="_Toc515273911"/>
    </w:p>
    <w:p>
      <w:pPr>
        <w:pStyle w:val="4"/>
        <w:rPr>
          <w:color w:val="auto"/>
        </w:rPr>
      </w:pPr>
      <w:r>
        <w:rPr>
          <w:rFonts w:hint="eastAsia"/>
          <w:color w:val="auto"/>
        </w:rPr>
        <w:t>4</w:t>
      </w:r>
      <w:r>
        <w:rPr>
          <w:color w:val="auto"/>
        </w:rPr>
        <w:t>环境保护设施</w:t>
      </w:r>
      <w:bookmarkEnd w:id="26"/>
      <w:bookmarkEnd w:id="27"/>
    </w:p>
    <w:p>
      <w:pPr>
        <w:pStyle w:val="5"/>
        <w:rPr>
          <w:color w:val="auto"/>
        </w:rPr>
      </w:pPr>
      <w:bookmarkStart w:id="28" w:name="_Toc515273912"/>
      <w:bookmarkStart w:id="29" w:name="_Toc61958995"/>
      <w:r>
        <w:rPr>
          <w:color w:val="auto"/>
        </w:rPr>
        <w:t>4.1污染物治理设施</w:t>
      </w:r>
      <w:bookmarkEnd w:id="28"/>
      <w:bookmarkEnd w:id="29"/>
    </w:p>
    <w:p>
      <w:pPr>
        <w:pStyle w:val="6"/>
        <w:rPr>
          <w:color w:val="auto"/>
        </w:rPr>
      </w:pPr>
      <w:bookmarkStart w:id="30" w:name="_Toc61958996"/>
      <w:r>
        <w:rPr>
          <w:color w:val="auto"/>
        </w:rPr>
        <w:t>4.1.1废水</w:t>
      </w:r>
      <w:bookmarkEnd w:id="30"/>
    </w:p>
    <w:p>
      <w:pPr>
        <w:ind w:firstLine="480"/>
        <w:rPr>
          <w:color w:val="auto"/>
        </w:rPr>
      </w:pPr>
      <w:r>
        <w:rPr>
          <w:rFonts w:hint="eastAsia"/>
          <w:color w:val="auto"/>
        </w:rPr>
        <w:t>本项目在实施过程中无生产废水产生，产生的废水仅为职工生活污水。</w:t>
      </w:r>
    </w:p>
    <w:p>
      <w:pPr>
        <w:ind w:firstLine="480"/>
        <w:rPr>
          <w:color w:val="auto"/>
        </w:rPr>
      </w:pPr>
      <w:r>
        <w:rPr>
          <w:rFonts w:hint="eastAsia"/>
          <w:color w:val="auto"/>
        </w:rPr>
        <w:t>公司</w:t>
      </w:r>
      <w:r>
        <w:rPr>
          <w:color w:val="auto"/>
        </w:rPr>
        <w:t>实行清污分流、雨污分流</w:t>
      </w:r>
      <w:r>
        <w:rPr>
          <w:rFonts w:hint="eastAsia"/>
          <w:color w:val="auto"/>
        </w:rPr>
        <w:t>，雨水就近排入附近河道；生活污水</w:t>
      </w:r>
      <w:r>
        <w:rPr>
          <w:rFonts w:hint="eastAsia" w:cs="Times New Roman"/>
          <w:color w:val="auto"/>
        </w:rPr>
        <w:t>经化粪池、隔油池预处理</w:t>
      </w:r>
      <w:r>
        <w:rPr>
          <w:rFonts w:hint="eastAsia"/>
          <w:color w:val="auto"/>
        </w:rPr>
        <w:t>达到《污水综合排放标准》（GB8978-1996）表4中的三级标准及《工业企业废水氮、磷污染物间接排放限值》（DB33/887-2013）中相关规定后，纳入市政污水管网，最终经桐乡市城市污水处理有限责任公司统一处理达到《城镇污水处理厂污染物排放标准》（GB18918</w:t>
      </w:r>
      <w:r>
        <w:rPr>
          <w:color w:val="auto"/>
        </w:rPr>
        <w:t>-</w:t>
      </w:r>
      <w:r>
        <w:rPr>
          <w:rFonts w:hint="eastAsia"/>
          <w:color w:val="auto"/>
        </w:rPr>
        <w:t>2002）表1中一级A标准后排放钱塘江。</w:t>
      </w:r>
    </w:p>
    <w:p>
      <w:pPr>
        <w:ind w:firstLine="480"/>
        <w:rPr>
          <w:color w:val="auto"/>
        </w:rPr>
      </w:pPr>
      <w:r>
        <w:rPr>
          <w:rFonts w:hint="eastAsia"/>
          <w:color w:val="auto"/>
        </w:rPr>
        <w:t>废水处理工艺流程如下：</w:t>
      </w:r>
    </w:p>
    <w:p>
      <w:pPr>
        <w:pStyle w:val="2"/>
        <w:ind w:left="480" w:firstLine="480"/>
        <w:rPr>
          <w:color w:val="auto"/>
        </w:rPr>
      </w:pPr>
      <w:r>
        <w:rPr>
          <w:color w:val="auto"/>
        </w:rPr>
        <w:drawing>
          <wp:anchor distT="0" distB="0" distL="114300" distR="114300" simplePos="0" relativeHeight="251661312" behindDoc="0" locked="0" layoutInCell="1" allowOverlap="1">
            <wp:simplePos x="0" y="0"/>
            <wp:positionH relativeFrom="margin">
              <wp:align>right</wp:align>
            </wp:positionH>
            <wp:positionV relativeFrom="paragraph">
              <wp:posOffset>69850</wp:posOffset>
            </wp:positionV>
            <wp:extent cx="5400040" cy="765175"/>
            <wp:effectExtent l="0" t="0" r="0" b="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34" cstate="screen"/>
                    <a:srcRect/>
                    <a:stretch>
                      <a:fillRect/>
                    </a:stretch>
                  </pic:blipFill>
                  <pic:spPr>
                    <a:xfrm>
                      <a:off x="0" y="0"/>
                      <a:ext cx="5400000" cy="765121"/>
                    </a:xfrm>
                    <a:prstGeom prst="rect">
                      <a:avLst/>
                    </a:prstGeom>
                    <a:noFill/>
                  </pic:spPr>
                </pic:pic>
              </a:graphicData>
            </a:graphic>
          </wp:anchor>
        </w:drawing>
      </w:r>
    </w:p>
    <w:p>
      <w:pPr>
        <w:pStyle w:val="2"/>
        <w:ind w:left="480" w:firstLine="480"/>
        <w:rPr>
          <w:color w:val="auto"/>
        </w:rPr>
      </w:pPr>
    </w:p>
    <w:p>
      <w:pPr>
        <w:pStyle w:val="29"/>
        <w:spacing w:before="312" w:beforeLines="100" w:after="31"/>
        <w:rPr>
          <w:color w:val="auto"/>
        </w:rPr>
      </w:pPr>
      <w:r>
        <w:rPr>
          <w:rFonts w:hint="eastAsia"/>
          <w:color w:val="auto"/>
        </w:rPr>
        <w:t>图4</w:t>
      </w:r>
      <w:r>
        <w:rPr>
          <w:color w:val="auto"/>
        </w:rPr>
        <w:t>-1</w:t>
      </w:r>
      <w:r>
        <w:rPr>
          <w:rFonts w:hint="eastAsia"/>
          <w:color w:val="auto"/>
        </w:rPr>
        <w:t>废水处理工艺流程图</w:t>
      </w:r>
    </w:p>
    <w:p>
      <w:pPr>
        <w:ind w:firstLine="480"/>
        <w:rPr>
          <w:color w:val="auto"/>
        </w:rPr>
      </w:pPr>
      <w:r>
        <w:rPr>
          <w:color w:val="auto"/>
        </w:rPr>
        <w:t>废水治理情况汇总见表4-1。</w:t>
      </w:r>
    </w:p>
    <w:p>
      <w:pPr>
        <w:pStyle w:val="30"/>
        <w:spacing w:before="62" w:after="31"/>
        <w:rPr>
          <w:color w:val="auto"/>
        </w:rPr>
      </w:pPr>
      <w:r>
        <w:rPr>
          <w:color w:val="auto"/>
        </w:rPr>
        <w:t>表4-1废水治理情况汇总表</w:t>
      </w:r>
    </w:p>
    <w:tbl>
      <w:tblPr>
        <w:tblStyle w:val="2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80"/>
        <w:gridCol w:w="1276"/>
        <w:gridCol w:w="851"/>
        <w:gridCol w:w="850"/>
        <w:gridCol w:w="297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废水类别</w:t>
            </w:r>
          </w:p>
        </w:tc>
        <w:tc>
          <w:tcPr>
            <w:tcW w:w="780"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废水</w:t>
            </w:r>
          </w:p>
          <w:p>
            <w:pPr>
              <w:pStyle w:val="40"/>
              <w:rPr>
                <w:b/>
                <w:bCs/>
                <w:color w:val="auto"/>
              </w:rPr>
            </w:pPr>
            <w:r>
              <w:rPr>
                <w:b/>
                <w:bCs/>
                <w:color w:val="auto"/>
              </w:rPr>
              <w:t>来源</w:t>
            </w:r>
          </w:p>
        </w:tc>
        <w:tc>
          <w:tcPr>
            <w:tcW w:w="1276"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污染物种类</w:t>
            </w:r>
          </w:p>
        </w:tc>
        <w:tc>
          <w:tcPr>
            <w:tcW w:w="851"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排放</w:t>
            </w:r>
          </w:p>
          <w:p>
            <w:pPr>
              <w:pStyle w:val="40"/>
              <w:rPr>
                <w:b/>
                <w:bCs/>
                <w:color w:val="auto"/>
              </w:rPr>
            </w:pPr>
            <w:r>
              <w:rPr>
                <w:b/>
                <w:bCs/>
                <w:color w:val="auto"/>
              </w:rPr>
              <w:t>规律</w:t>
            </w:r>
          </w:p>
        </w:tc>
        <w:tc>
          <w:tcPr>
            <w:tcW w:w="850"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治理</w:t>
            </w:r>
          </w:p>
          <w:p>
            <w:pPr>
              <w:pStyle w:val="40"/>
              <w:rPr>
                <w:b/>
                <w:bCs/>
                <w:color w:val="auto"/>
              </w:rPr>
            </w:pPr>
            <w:r>
              <w:rPr>
                <w:b/>
                <w:bCs/>
                <w:color w:val="auto"/>
              </w:rPr>
              <w:t>设施</w:t>
            </w:r>
          </w:p>
        </w:tc>
        <w:tc>
          <w:tcPr>
            <w:tcW w:w="2977"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b/>
                <w:bCs/>
                <w:color w:val="auto"/>
              </w:rPr>
              <w:t>设计指标</w:t>
            </w:r>
          </w:p>
        </w:tc>
        <w:tc>
          <w:tcPr>
            <w:tcW w:w="1134" w:type="dxa"/>
            <w:tcBorders>
              <w:top w:val="single" w:color="auto" w:sz="4" w:space="0"/>
              <w:left w:val="single" w:color="auto" w:sz="4" w:space="0"/>
              <w:bottom w:val="single" w:color="auto" w:sz="4" w:space="0"/>
              <w:right w:val="single" w:color="auto" w:sz="4" w:space="0"/>
            </w:tcBorders>
            <w:vAlign w:val="center"/>
          </w:tcPr>
          <w:p>
            <w:pPr>
              <w:pStyle w:val="40"/>
              <w:rPr>
                <w:b/>
                <w:bCs/>
                <w:color w:val="auto"/>
              </w:rPr>
            </w:pPr>
            <w:r>
              <w:rPr>
                <w:rFonts w:hint="eastAsia"/>
                <w:b/>
                <w:bCs/>
                <w:color w:val="auto"/>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pStyle w:val="40"/>
              <w:rPr>
                <w:color w:val="auto"/>
              </w:rPr>
            </w:pPr>
            <w:r>
              <w:rPr>
                <w:color w:val="auto"/>
              </w:rPr>
              <w:t>生活</w:t>
            </w:r>
          </w:p>
          <w:p>
            <w:pPr>
              <w:pStyle w:val="40"/>
              <w:rPr>
                <w:color w:val="auto"/>
              </w:rPr>
            </w:pPr>
            <w:r>
              <w:rPr>
                <w:color w:val="auto"/>
              </w:rPr>
              <w:t>污水</w:t>
            </w:r>
          </w:p>
        </w:tc>
        <w:tc>
          <w:tcPr>
            <w:tcW w:w="780" w:type="dxa"/>
            <w:tcBorders>
              <w:top w:val="single" w:color="auto" w:sz="4" w:space="0"/>
              <w:left w:val="single" w:color="auto" w:sz="4" w:space="0"/>
              <w:bottom w:val="single" w:color="auto" w:sz="4" w:space="0"/>
              <w:right w:val="single" w:color="auto" w:sz="4" w:space="0"/>
            </w:tcBorders>
            <w:vAlign w:val="center"/>
          </w:tcPr>
          <w:p>
            <w:pPr>
              <w:pStyle w:val="40"/>
              <w:rPr>
                <w:color w:val="auto"/>
              </w:rPr>
            </w:pPr>
            <w:r>
              <w:rPr>
                <w:color w:val="auto"/>
              </w:rPr>
              <w:t>职工</w:t>
            </w:r>
          </w:p>
          <w:p>
            <w:pPr>
              <w:pStyle w:val="40"/>
              <w:rPr>
                <w:color w:val="auto"/>
              </w:rPr>
            </w:pPr>
            <w:r>
              <w:rPr>
                <w:color w:val="auto"/>
              </w:rPr>
              <w:t>生活</w:t>
            </w:r>
          </w:p>
        </w:tc>
        <w:tc>
          <w:tcPr>
            <w:tcW w:w="1276" w:type="dxa"/>
            <w:tcBorders>
              <w:top w:val="single" w:color="auto" w:sz="4" w:space="0"/>
              <w:left w:val="single" w:color="auto" w:sz="4" w:space="0"/>
              <w:right w:val="single" w:color="auto" w:sz="4" w:space="0"/>
            </w:tcBorders>
            <w:vAlign w:val="center"/>
          </w:tcPr>
          <w:p>
            <w:pPr>
              <w:pStyle w:val="40"/>
              <w:rPr>
                <w:color w:val="auto"/>
              </w:rPr>
            </w:pPr>
            <w:r>
              <w:rPr>
                <w:rFonts w:hint="eastAsia"/>
                <w:color w:val="auto"/>
              </w:rPr>
              <w:t>pH、</w:t>
            </w:r>
            <w:r>
              <w:rPr>
                <w:color w:val="auto"/>
              </w:rPr>
              <w:t>COD</w:t>
            </w:r>
            <w:r>
              <w:rPr>
                <w:rFonts w:hint="eastAsia"/>
                <w:color w:val="auto"/>
                <w:vertAlign w:val="subscript"/>
              </w:rPr>
              <w:t>C</w:t>
            </w:r>
            <w:r>
              <w:rPr>
                <w:color w:val="auto"/>
                <w:vertAlign w:val="subscript"/>
              </w:rPr>
              <w:t>r</w:t>
            </w:r>
            <w:r>
              <w:rPr>
                <w:color w:val="auto"/>
              </w:rPr>
              <w:t>、NH</w:t>
            </w:r>
            <w:r>
              <w:rPr>
                <w:color w:val="auto"/>
                <w:vertAlign w:val="subscript"/>
              </w:rPr>
              <w:t>3</w:t>
            </w:r>
            <w:r>
              <w:rPr>
                <w:color w:val="auto"/>
              </w:rPr>
              <w:t>-</w:t>
            </w:r>
            <w:r>
              <w:rPr>
                <w:rFonts w:hint="eastAsia"/>
                <w:color w:val="auto"/>
              </w:rPr>
              <w:t>N、B</w:t>
            </w:r>
            <w:r>
              <w:rPr>
                <w:color w:val="auto"/>
              </w:rPr>
              <w:t>OD</w:t>
            </w:r>
            <w:r>
              <w:rPr>
                <w:color w:val="auto"/>
                <w:vertAlign w:val="subscript"/>
              </w:rPr>
              <w:t>5</w:t>
            </w:r>
            <w:r>
              <w:rPr>
                <w:rFonts w:hint="eastAsia"/>
                <w:color w:val="auto"/>
              </w:rPr>
              <w:t>、SS、动植物油</w:t>
            </w:r>
          </w:p>
        </w:tc>
        <w:tc>
          <w:tcPr>
            <w:tcW w:w="851" w:type="dxa"/>
            <w:tcBorders>
              <w:top w:val="single" w:color="auto" w:sz="4" w:space="0"/>
              <w:left w:val="single" w:color="auto" w:sz="4" w:space="0"/>
              <w:right w:val="single" w:color="auto" w:sz="4" w:space="0"/>
            </w:tcBorders>
            <w:vAlign w:val="center"/>
          </w:tcPr>
          <w:p>
            <w:pPr>
              <w:pStyle w:val="40"/>
              <w:rPr>
                <w:color w:val="auto"/>
              </w:rPr>
            </w:pPr>
            <w:r>
              <w:rPr>
                <w:color w:val="auto"/>
              </w:rPr>
              <w:t>间歇</w:t>
            </w:r>
          </w:p>
        </w:tc>
        <w:tc>
          <w:tcPr>
            <w:tcW w:w="850" w:type="dxa"/>
            <w:tcBorders>
              <w:top w:val="single" w:color="auto" w:sz="4" w:space="0"/>
              <w:left w:val="single" w:color="auto" w:sz="4" w:space="0"/>
              <w:bottom w:val="single" w:color="auto" w:sz="4" w:space="0"/>
              <w:right w:val="single" w:color="auto" w:sz="4" w:space="0"/>
            </w:tcBorders>
            <w:vAlign w:val="center"/>
          </w:tcPr>
          <w:p>
            <w:pPr>
              <w:pStyle w:val="40"/>
              <w:rPr>
                <w:color w:val="auto"/>
              </w:rPr>
            </w:pPr>
            <w:r>
              <w:rPr>
                <w:color w:val="auto"/>
              </w:rPr>
              <w:t>化粪池</w:t>
            </w:r>
            <w:r>
              <w:rPr>
                <w:rFonts w:hint="eastAsia"/>
                <w:color w:val="auto"/>
              </w:rPr>
              <w:t>、隔油池</w:t>
            </w:r>
          </w:p>
        </w:tc>
        <w:tc>
          <w:tcPr>
            <w:tcW w:w="2977" w:type="dxa"/>
            <w:tcBorders>
              <w:top w:val="single" w:color="auto" w:sz="4" w:space="0"/>
              <w:left w:val="single" w:color="auto" w:sz="4" w:space="0"/>
              <w:right w:val="single" w:color="auto" w:sz="4" w:space="0"/>
            </w:tcBorders>
            <w:vAlign w:val="center"/>
          </w:tcPr>
          <w:p>
            <w:pPr>
              <w:pStyle w:val="40"/>
              <w:rPr>
                <w:color w:val="auto"/>
              </w:rPr>
            </w:pPr>
            <w:r>
              <w:rPr>
                <w:color w:val="auto"/>
              </w:rPr>
              <w:t>入网标准达到《污水综合排放标准》（GB8978-1996）表4中的三级标准</w:t>
            </w:r>
            <w:r>
              <w:rPr>
                <w:rFonts w:hint="eastAsia"/>
                <w:color w:val="auto"/>
              </w:rPr>
              <w:t>，NH</w:t>
            </w:r>
            <w:r>
              <w:rPr>
                <w:rFonts w:hint="eastAsia"/>
                <w:color w:val="auto"/>
                <w:vertAlign w:val="subscript"/>
              </w:rPr>
              <w:t>3</w:t>
            </w:r>
            <w:r>
              <w:rPr>
                <w:rFonts w:hint="eastAsia"/>
                <w:color w:val="auto"/>
              </w:rPr>
              <w:t>-N入网标准达到DB33/887-2013《工业企业废水氮、磷污染物间接排放限值》相关限值</w:t>
            </w:r>
          </w:p>
        </w:tc>
        <w:tc>
          <w:tcPr>
            <w:tcW w:w="1134" w:type="dxa"/>
            <w:tcBorders>
              <w:top w:val="single" w:color="auto" w:sz="4" w:space="0"/>
              <w:left w:val="single" w:color="auto" w:sz="4" w:space="0"/>
              <w:right w:val="single" w:color="auto" w:sz="4" w:space="0"/>
            </w:tcBorders>
            <w:vAlign w:val="center"/>
          </w:tcPr>
          <w:p>
            <w:pPr>
              <w:pStyle w:val="40"/>
              <w:rPr>
                <w:color w:val="auto"/>
              </w:rPr>
            </w:pPr>
            <w:r>
              <w:rPr>
                <w:rFonts w:hint="eastAsia"/>
                <w:color w:val="auto"/>
              </w:rPr>
              <w:t>市政管网，最终进入城市污水集中处理厂</w:t>
            </w:r>
          </w:p>
        </w:tc>
      </w:tr>
    </w:tbl>
    <w:p>
      <w:pPr>
        <w:pStyle w:val="6"/>
        <w:spacing w:before="156" w:beforeLines="50"/>
        <w:rPr>
          <w:color w:val="auto"/>
        </w:rPr>
      </w:pPr>
      <w:bookmarkStart w:id="31" w:name="_Toc61958997"/>
      <w:r>
        <w:rPr>
          <w:color w:val="auto"/>
        </w:rPr>
        <w:t>4.1.2废气</w:t>
      </w:r>
      <w:bookmarkEnd w:id="31"/>
    </w:p>
    <w:p>
      <w:pPr>
        <w:ind w:firstLine="480"/>
        <w:rPr>
          <w:rFonts w:cs="Times New Roman"/>
          <w:color w:val="auto"/>
        </w:rPr>
      </w:pPr>
      <w:r>
        <w:rPr>
          <w:rFonts w:hint="eastAsia" w:cs="Times New Roman"/>
          <w:color w:val="auto"/>
        </w:rPr>
        <w:t>本项目生产过程中产生的废气主要为和毛油剂废气和和毛、开松、梳棉等生产过程产生的纤维粉尘。和毛油剂废气产生量较少，在车间无组织排放，公司通过加强车间减少对周围环境的影响，同时加强人员个人防护；生产工艺过程中产生的纤维粉尘通过车间内安装的集气罩，收集后经布袋除尘器处理后在15m高排气筒高空排放。</w:t>
      </w:r>
    </w:p>
    <w:p>
      <w:pPr>
        <w:ind w:firstLine="480"/>
        <w:rPr>
          <w:rFonts w:cs="Times New Roman"/>
          <w:color w:val="auto"/>
        </w:rPr>
      </w:pPr>
      <w:r>
        <w:rPr>
          <w:rFonts w:hint="eastAsia" w:cs="Times New Roman"/>
          <w:color w:val="auto"/>
        </w:rPr>
        <w:t>本项目废气治理情况见表4-2。</w:t>
      </w:r>
    </w:p>
    <w:p>
      <w:pPr>
        <w:pStyle w:val="30"/>
        <w:spacing w:before="62" w:after="31"/>
        <w:rPr>
          <w:color w:val="auto"/>
        </w:rPr>
      </w:pPr>
      <w:r>
        <w:rPr>
          <w:color w:val="auto"/>
        </w:rPr>
        <w:t>表4-</w:t>
      </w:r>
      <w:r>
        <w:rPr>
          <w:rFonts w:hint="eastAsia"/>
          <w:color w:val="auto"/>
        </w:rPr>
        <w:t>2</w:t>
      </w:r>
      <w:r>
        <w:rPr>
          <w:color w:val="auto"/>
        </w:rPr>
        <w:t>废</w:t>
      </w:r>
      <w:r>
        <w:rPr>
          <w:rFonts w:hint="eastAsia"/>
          <w:color w:val="auto"/>
        </w:rPr>
        <w:t>气</w:t>
      </w:r>
      <w:r>
        <w:rPr>
          <w:color w:val="auto"/>
        </w:rPr>
        <w:t>治理情况汇总</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090"/>
        <w:gridCol w:w="1310"/>
        <w:gridCol w:w="1744"/>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5" w:type="pct"/>
            <w:tcBorders>
              <w:top w:val="single" w:color="auto" w:sz="4" w:space="0"/>
              <w:left w:val="single" w:color="auto" w:sz="4" w:space="0"/>
              <w:bottom w:val="single" w:color="auto" w:sz="4" w:space="0"/>
              <w:right w:val="single" w:color="auto" w:sz="4" w:space="0"/>
            </w:tcBorders>
            <w:vAlign w:val="center"/>
          </w:tcPr>
          <w:p>
            <w:pPr>
              <w:pStyle w:val="32"/>
              <w:rPr>
                <w:b/>
                <w:bCs/>
                <w:color w:val="auto"/>
              </w:rPr>
            </w:pPr>
            <w:r>
              <w:rPr>
                <w:rFonts w:hint="eastAsia"/>
                <w:b/>
                <w:bCs/>
                <w:color w:val="auto"/>
              </w:rPr>
              <w:t>废气</w:t>
            </w:r>
            <w:r>
              <w:rPr>
                <w:b/>
                <w:bCs/>
                <w:color w:val="auto"/>
              </w:rPr>
              <w:t>类别</w:t>
            </w:r>
          </w:p>
        </w:tc>
        <w:tc>
          <w:tcPr>
            <w:tcW w:w="625" w:type="pct"/>
            <w:tcBorders>
              <w:top w:val="single" w:color="auto" w:sz="4" w:space="0"/>
              <w:left w:val="single" w:color="auto" w:sz="4" w:space="0"/>
              <w:bottom w:val="single" w:color="auto" w:sz="4" w:space="0"/>
              <w:right w:val="single" w:color="auto" w:sz="4" w:space="0"/>
            </w:tcBorders>
            <w:vAlign w:val="center"/>
          </w:tcPr>
          <w:p>
            <w:pPr>
              <w:pStyle w:val="32"/>
              <w:rPr>
                <w:b/>
                <w:bCs/>
                <w:color w:val="auto"/>
              </w:rPr>
            </w:pPr>
            <w:r>
              <w:rPr>
                <w:b/>
                <w:bCs/>
                <w:color w:val="auto"/>
              </w:rPr>
              <w:t>废</w:t>
            </w:r>
            <w:r>
              <w:rPr>
                <w:rFonts w:hint="eastAsia"/>
                <w:b/>
                <w:bCs/>
                <w:color w:val="auto"/>
              </w:rPr>
              <w:t>气</w:t>
            </w:r>
            <w:r>
              <w:rPr>
                <w:b/>
                <w:bCs/>
                <w:color w:val="auto"/>
              </w:rPr>
              <w:t>来源</w:t>
            </w:r>
          </w:p>
        </w:tc>
        <w:tc>
          <w:tcPr>
            <w:tcW w:w="751" w:type="pct"/>
            <w:tcBorders>
              <w:top w:val="single" w:color="auto" w:sz="4" w:space="0"/>
              <w:left w:val="single" w:color="auto" w:sz="4" w:space="0"/>
              <w:bottom w:val="single" w:color="auto" w:sz="4" w:space="0"/>
              <w:right w:val="single" w:color="auto" w:sz="4" w:space="0"/>
            </w:tcBorders>
            <w:vAlign w:val="center"/>
          </w:tcPr>
          <w:p>
            <w:pPr>
              <w:pStyle w:val="32"/>
              <w:rPr>
                <w:b/>
                <w:bCs/>
                <w:color w:val="auto"/>
              </w:rPr>
            </w:pPr>
            <w:r>
              <w:rPr>
                <w:b/>
                <w:bCs/>
                <w:color w:val="auto"/>
              </w:rPr>
              <w:t>污染物种类</w:t>
            </w:r>
          </w:p>
        </w:tc>
        <w:tc>
          <w:tcPr>
            <w:tcW w:w="1000" w:type="pct"/>
            <w:tcBorders>
              <w:top w:val="single" w:color="auto" w:sz="4" w:space="0"/>
              <w:left w:val="single" w:color="auto" w:sz="4" w:space="0"/>
              <w:bottom w:val="single" w:color="auto" w:sz="4" w:space="0"/>
              <w:right w:val="single" w:color="auto" w:sz="4" w:space="0"/>
            </w:tcBorders>
            <w:vAlign w:val="center"/>
          </w:tcPr>
          <w:p>
            <w:pPr>
              <w:pStyle w:val="32"/>
              <w:rPr>
                <w:b/>
                <w:bCs/>
                <w:color w:val="auto"/>
              </w:rPr>
            </w:pPr>
            <w:r>
              <w:rPr>
                <w:b/>
                <w:bCs/>
                <w:color w:val="auto"/>
              </w:rPr>
              <w:t>治理设施</w:t>
            </w:r>
          </w:p>
        </w:tc>
        <w:tc>
          <w:tcPr>
            <w:tcW w:w="1998" w:type="pct"/>
            <w:tcBorders>
              <w:top w:val="single" w:color="auto" w:sz="4" w:space="0"/>
              <w:left w:val="single" w:color="auto" w:sz="4" w:space="0"/>
              <w:bottom w:val="single" w:color="auto" w:sz="4" w:space="0"/>
              <w:right w:val="single" w:color="auto" w:sz="4" w:space="0"/>
            </w:tcBorders>
            <w:vAlign w:val="center"/>
          </w:tcPr>
          <w:p>
            <w:pPr>
              <w:pStyle w:val="32"/>
              <w:rPr>
                <w:b/>
                <w:bCs/>
                <w:color w:val="auto"/>
              </w:rPr>
            </w:pPr>
            <w:r>
              <w:rPr>
                <w:b/>
                <w:bCs/>
                <w:color w:val="auto"/>
              </w:rPr>
              <w:t>设计指标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5"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和毛油剂废气</w:t>
            </w:r>
          </w:p>
        </w:tc>
        <w:tc>
          <w:tcPr>
            <w:tcW w:w="625"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生产过程</w:t>
            </w:r>
          </w:p>
        </w:tc>
        <w:tc>
          <w:tcPr>
            <w:tcW w:w="751"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VOCs</w:t>
            </w:r>
          </w:p>
        </w:tc>
        <w:tc>
          <w:tcPr>
            <w:tcW w:w="1000"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加强车间通风</w:t>
            </w:r>
          </w:p>
        </w:tc>
        <w:tc>
          <w:tcPr>
            <w:tcW w:w="1998" w:type="pct"/>
            <w:vMerge w:val="restart"/>
            <w:tcBorders>
              <w:top w:val="single" w:color="auto" w:sz="4" w:space="0"/>
              <w:left w:val="single" w:color="auto" w:sz="4" w:space="0"/>
              <w:right w:val="single" w:color="auto" w:sz="4" w:space="0"/>
            </w:tcBorders>
            <w:vAlign w:val="center"/>
          </w:tcPr>
          <w:p>
            <w:pPr>
              <w:pStyle w:val="32"/>
              <w:rPr>
                <w:color w:val="auto"/>
              </w:rPr>
            </w:pPr>
            <w:r>
              <w:rPr>
                <w:rFonts w:hint="eastAsia"/>
                <w:color w:val="auto"/>
              </w:rPr>
              <w:t>GB16297-1996《大气污染物综合排放标准》表2中的二级标准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5" w:type="pct"/>
            <w:tcBorders>
              <w:top w:val="single" w:color="auto" w:sz="4" w:space="0"/>
              <w:left w:val="single" w:color="auto" w:sz="4" w:space="0"/>
              <w:bottom w:val="single" w:color="auto" w:sz="4" w:space="0"/>
              <w:right w:val="single" w:color="auto" w:sz="4" w:space="0"/>
            </w:tcBorders>
            <w:vAlign w:val="center"/>
          </w:tcPr>
          <w:p>
            <w:pPr>
              <w:pStyle w:val="32"/>
              <w:rPr>
                <w:color w:val="auto"/>
              </w:rPr>
            </w:pPr>
            <w:bookmarkStart w:id="32" w:name="_Toc61958998"/>
            <w:r>
              <w:rPr>
                <w:rFonts w:hint="eastAsia"/>
                <w:color w:val="auto"/>
              </w:rPr>
              <w:t>纤维粉尘</w:t>
            </w:r>
          </w:p>
        </w:tc>
        <w:tc>
          <w:tcPr>
            <w:tcW w:w="625"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生产过程</w:t>
            </w:r>
          </w:p>
        </w:tc>
        <w:tc>
          <w:tcPr>
            <w:tcW w:w="751"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颗粒物</w:t>
            </w:r>
          </w:p>
        </w:tc>
        <w:tc>
          <w:tcPr>
            <w:tcW w:w="1000" w:type="pct"/>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收集后布袋除尘器处理后15m高排气筒高空排放</w:t>
            </w:r>
          </w:p>
        </w:tc>
        <w:tc>
          <w:tcPr>
            <w:tcW w:w="1998" w:type="pct"/>
            <w:vMerge w:val="continue"/>
            <w:tcBorders>
              <w:left w:val="single" w:color="auto" w:sz="4" w:space="0"/>
              <w:bottom w:val="single" w:color="auto" w:sz="4" w:space="0"/>
              <w:right w:val="single" w:color="auto" w:sz="4" w:space="0"/>
            </w:tcBorders>
            <w:vAlign w:val="center"/>
          </w:tcPr>
          <w:p>
            <w:pPr>
              <w:pStyle w:val="32"/>
              <w:rPr>
                <w:color w:val="auto"/>
              </w:rPr>
            </w:pPr>
          </w:p>
        </w:tc>
      </w:tr>
    </w:tbl>
    <w:p>
      <w:pPr>
        <w:pStyle w:val="6"/>
        <w:spacing w:before="156" w:beforeLines="50"/>
        <w:rPr>
          <w:color w:val="auto"/>
        </w:rPr>
      </w:pPr>
      <w:r>
        <w:rPr>
          <w:color w:val="auto"/>
        </w:rPr>
        <w:t>4.1.3噪声</w:t>
      </w:r>
      <w:bookmarkEnd w:id="32"/>
    </w:p>
    <w:p>
      <w:pPr>
        <w:ind w:firstLine="480"/>
        <w:rPr>
          <w:rFonts w:cs="Times New Roman"/>
          <w:color w:val="auto"/>
        </w:rPr>
      </w:pPr>
      <w:r>
        <w:rPr>
          <w:rFonts w:cs="Times New Roman"/>
          <w:color w:val="auto"/>
        </w:rPr>
        <w:t>本项目噪声主要来自于</w:t>
      </w:r>
      <w:r>
        <w:rPr>
          <w:rFonts w:hint="eastAsia" w:cs="Times New Roman"/>
          <w:color w:val="auto"/>
        </w:rPr>
        <w:t>生产设备的运行噪声。</w:t>
      </w:r>
    </w:p>
    <w:p>
      <w:pPr>
        <w:ind w:firstLine="480"/>
        <w:rPr>
          <w:rFonts w:cs="Times New Roman"/>
          <w:color w:val="auto"/>
        </w:rPr>
      </w:pPr>
      <w:r>
        <w:rPr>
          <w:rFonts w:hint="eastAsia" w:cs="Times New Roman"/>
          <w:color w:val="auto"/>
        </w:rPr>
        <w:t>公司在设备选型时，</w:t>
      </w:r>
      <w:bookmarkStart w:id="33" w:name="_Hlk71814907"/>
      <w:r>
        <w:rPr>
          <w:rFonts w:hint="eastAsia" w:cs="Times New Roman"/>
          <w:color w:val="auto"/>
        </w:rPr>
        <w:t>注意选择低噪声型设备，</w:t>
      </w:r>
      <w:r>
        <w:rPr>
          <w:rFonts w:hint="eastAsia"/>
          <w:color w:val="auto"/>
        </w:rPr>
        <w:t>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bookmarkEnd w:id="33"/>
    </w:p>
    <w:p>
      <w:pPr>
        <w:pStyle w:val="6"/>
        <w:rPr>
          <w:color w:val="auto"/>
        </w:rPr>
      </w:pPr>
      <w:bookmarkStart w:id="34" w:name="_Toc61958999"/>
      <w:r>
        <w:rPr>
          <w:color w:val="auto"/>
        </w:rPr>
        <w:t>4.1.4固（液）体废物</w:t>
      </w:r>
      <w:bookmarkEnd w:id="34"/>
    </w:p>
    <w:p>
      <w:pPr>
        <w:ind w:firstLine="480"/>
        <w:rPr>
          <w:rFonts w:cs="Times New Roman"/>
          <w:color w:val="auto"/>
        </w:rPr>
      </w:pPr>
      <w:r>
        <w:rPr>
          <w:rFonts w:hint="eastAsia" w:cs="Times New Roman"/>
          <w:color w:val="auto"/>
        </w:rPr>
        <w:t>根据公司实际情况，本项目生产过程中产生的</w:t>
      </w:r>
      <w:r>
        <w:rPr>
          <w:rFonts w:cs="Times New Roman"/>
          <w:color w:val="auto"/>
        </w:rPr>
        <w:t>固体废物分析结果见表4-</w:t>
      </w:r>
      <w:r>
        <w:rPr>
          <w:rFonts w:hint="eastAsia" w:cs="Times New Roman"/>
          <w:color w:val="auto"/>
        </w:rPr>
        <w:t>3</w:t>
      </w:r>
      <w:r>
        <w:rPr>
          <w:rFonts w:cs="Times New Roman"/>
          <w:color w:val="auto"/>
        </w:rPr>
        <w:t>。</w:t>
      </w:r>
    </w:p>
    <w:p>
      <w:pPr>
        <w:pStyle w:val="30"/>
        <w:spacing w:before="62" w:after="31"/>
        <w:rPr>
          <w:color w:val="auto"/>
        </w:rPr>
      </w:pPr>
      <w:bookmarkStart w:id="35" w:name="_Hlk81559225"/>
      <w:r>
        <w:rPr>
          <w:color w:val="auto"/>
        </w:rPr>
        <w:t>表4-</w:t>
      </w:r>
      <w:r>
        <w:rPr>
          <w:rFonts w:hint="eastAsia"/>
          <w:color w:val="auto"/>
        </w:rPr>
        <w:t>3</w:t>
      </w:r>
      <w:r>
        <w:rPr>
          <w:color w:val="auto"/>
        </w:rPr>
        <w:t>固体废物分析结果汇总表单位：t/a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340"/>
        <w:gridCol w:w="1091"/>
        <w:gridCol w:w="752"/>
        <w:gridCol w:w="1211"/>
        <w:gridCol w:w="1311"/>
        <w:gridCol w:w="873"/>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pPr>
              <w:pStyle w:val="40"/>
              <w:rPr>
                <w:b/>
                <w:bCs/>
                <w:color w:val="auto"/>
              </w:rPr>
            </w:pPr>
            <w:r>
              <w:rPr>
                <w:b/>
                <w:bCs/>
                <w:color w:val="auto"/>
              </w:rPr>
              <w:t>序号</w:t>
            </w:r>
          </w:p>
        </w:tc>
        <w:tc>
          <w:tcPr>
            <w:tcW w:w="768" w:type="pct"/>
            <w:vAlign w:val="center"/>
          </w:tcPr>
          <w:p>
            <w:pPr>
              <w:pStyle w:val="40"/>
              <w:rPr>
                <w:b/>
                <w:bCs/>
                <w:color w:val="auto"/>
              </w:rPr>
            </w:pPr>
            <w:r>
              <w:rPr>
                <w:b/>
                <w:bCs/>
                <w:color w:val="auto"/>
              </w:rPr>
              <w:t>名称</w:t>
            </w:r>
          </w:p>
        </w:tc>
        <w:tc>
          <w:tcPr>
            <w:tcW w:w="625" w:type="pct"/>
            <w:vAlign w:val="center"/>
          </w:tcPr>
          <w:p>
            <w:pPr>
              <w:pStyle w:val="40"/>
              <w:rPr>
                <w:b/>
                <w:bCs/>
                <w:color w:val="auto"/>
              </w:rPr>
            </w:pPr>
            <w:r>
              <w:rPr>
                <w:b/>
                <w:bCs/>
                <w:color w:val="auto"/>
              </w:rPr>
              <w:t>产生工序</w:t>
            </w:r>
          </w:p>
        </w:tc>
        <w:tc>
          <w:tcPr>
            <w:tcW w:w="431" w:type="pct"/>
            <w:vAlign w:val="center"/>
          </w:tcPr>
          <w:p>
            <w:pPr>
              <w:pStyle w:val="40"/>
              <w:rPr>
                <w:b/>
                <w:bCs/>
                <w:color w:val="auto"/>
              </w:rPr>
            </w:pPr>
            <w:r>
              <w:rPr>
                <w:b/>
                <w:bCs/>
                <w:color w:val="auto"/>
              </w:rPr>
              <w:t>形态</w:t>
            </w:r>
          </w:p>
        </w:tc>
        <w:tc>
          <w:tcPr>
            <w:tcW w:w="694" w:type="pct"/>
            <w:vAlign w:val="center"/>
          </w:tcPr>
          <w:p>
            <w:pPr>
              <w:pStyle w:val="40"/>
              <w:rPr>
                <w:b/>
                <w:bCs/>
                <w:color w:val="auto"/>
              </w:rPr>
            </w:pPr>
            <w:r>
              <w:rPr>
                <w:b/>
                <w:bCs/>
                <w:color w:val="auto"/>
              </w:rPr>
              <w:t>主要成分</w:t>
            </w:r>
          </w:p>
        </w:tc>
        <w:tc>
          <w:tcPr>
            <w:tcW w:w="751" w:type="pct"/>
            <w:vAlign w:val="center"/>
          </w:tcPr>
          <w:p>
            <w:pPr>
              <w:pStyle w:val="40"/>
              <w:rPr>
                <w:b/>
                <w:bCs/>
                <w:color w:val="auto"/>
              </w:rPr>
            </w:pPr>
            <w:r>
              <w:rPr>
                <w:b/>
                <w:bCs/>
                <w:color w:val="auto"/>
              </w:rPr>
              <w:t>属性</w:t>
            </w:r>
          </w:p>
        </w:tc>
        <w:tc>
          <w:tcPr>
            <w:tcW w:w="500" w:type="pct"/>
            <w:vAlign w:val="center"/>
          </w:tcPr>
          <w:p>
            <w:pPr>
              <w:pStyle w:val="40"/>
              <w:rPr>
                <w:b/>
                <w:bCs/>
                <w:color w:val="auto"/>
              </w:rPr>
            </w:pPr>
            <w:r>
              <w:rPr>
                <w:b/>
                <w:bCs/>
                <w:color w:val="auto"/>
              </w:rPr>
              <w:t>产生量</w:t>
            </w:r>
          </w:p>
        </w:tc>
        <w:tc>
          <w:tcPr>
            <w:tcW w:w="831" w:type="pct"/>
            <w:vAlign w:val="center"/>
          </w:tcPr>
          <w:p>
            <w:pPr>
              <w:pStyle w:val="40"/>
              <w:rPr>
                <w:b/>
                <w:bCs/>
                <w:color w:val="auto"/>
              </w:rPr>
            </w:pPr>
            <w:r>
              <w:rPr>
                <w:b/>
                <w:bCs/>
                <w:color w:val="auto"/>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pPr>
              <w:pStyle w:val="40"/>
              <w:rPr>
                <w:color w:val="auto"/>
              </w:rPr>
            </w:pPr>
            <w:r>
              <w:rPr>
                <w:color w:val="auto"/>
              </w:rPr>
              <w:t>1</w:t>
            </w:r>
          </w:p>
        </w:tc>
        <w:tc>
          <w:tcPr>
            <w:tcW w:w="768"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废包装材料</w:t>
            </w:r>
          </w:p>
        </w:tc>
        <w:tc>
          <w:tcPr>
            <w:tcW w:w="625"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原料使用</w:t>
            </w:r>
          </w:p>
        </w:tc>
        <w:tc>
          <w:tcPr>
            <w:tcW w:w="43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94"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塑料膜、袋</w:t>
            </w:r>
          </w:p>
        </w:tc>
        <w:tc>
          <w:tcPr>
            <w:tcW w:w="75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00" w:type="pct"/>
            <w:vAlign w:val="center"/>
          </w:tcPr>
          <w:p>
            <w:pPr>
              <w:pStyle w:val="40"/>
              <w:rPr>
                <w:rFonts w:hint="default" w:eastAsiaTheme="minorEastAsia"/>
                <w:color w:val="auto"/>
                <w:lang w:val="en-US" w:eastAsia="zh-CN"/>
              </w:rPr>
            </w:pPr>
            <w:r>
              <w:rPr>
                <w:rFonts w:hint="eastAsia"/>
                <w:color w:val="auto"/>
                <w:lang w:val="en-US" w:eastAsia="zh-CN"/>
              </w:rPr>
              <w:t>2</w:t>
            </w:r>
          </w:p>
        </w:tc>
        <w:tc>
          <w:tcPr>
            <w:tcW w:w="831" w:type="pct"/>
            <w:vMerge w:val="restart"/>
            <w:vAlign w:val="center"/>
          </w:tcPr>
          <w:p>
            <w:pPr>
              <w:pStyle w:val="40"/>
              <w:rPr>
                <w:color w:val="auto"/>
              </w:rPr>
            </w:pPr>
            <w:r>
              <w:rPr>
                <w:rFonts w:hint="eastAsia"/>
                <w:color w:val="auto"/>
              </w:rPr>
              <w:t>外卖综合利用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pPr>
              <w:pStyle w:val="40"/>
              <w:rPr>
                <w:color w:val="auto"/>
              </w:rPr>
            </w:pPr>
            <w:r>
              <w:rPr>
                <w:rFonts w:hint="eastAsia"/>
                <w:color w:val="auto"/>
              </w:rPr>
              <w:t>2</w:t>
            </w:r>
          </w:p>
        </w:tc>
        <w:tc>
          <w:tcPr>
            <w:tcW w:w="768" w:type="pct"/>
            <w:tcBorders>
              <w:top w:val="single" w:color="auto" w:sz="4" w:space="0"/>
              <w:left w:val="single" w:color="auto" w:sz="4" w:space="0"/>
              <w:bottom w:val="single" w:color="auto" w:sz="4" w:space="0"/>
              <w:right w:val="single" w:color="auto" w:sz="4" w:space="0"/>
            </w:tcBorders>
            <w:vAlign w:val="center"/>
          </w:tcPr>
          <w:p>
            <w:pPr>
              <w:pStyle w:val="40"/>
              <w:rPr>
                <w:bCs/>
                <w:color w:val="auto"/>
              </w:rPr>
            </w:pPr>
            <w:r>
              <w:rPr>
                <w:rFonts w:hint="eastAsia"/>
                <w:bCs/>
                <w:color w:val="auto"/>
              </w:rPr>
              <w:t>废丝</w:t>
            </w:r>
          </w:p>
        </w:tc>
        <w:tc>
          <w:tcPr>
            <w:tcW w:w="625"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生产过程</w:t>
            </w:r>
          </w:p>
        </w:tc>
        <w:tc>
          <w:tcPr>
            <w:tcW w:w="43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94"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废丝</w:t>
            </w:r>
          </w:p>
        </w:tc>
        <w:tc>
          <w:tcPr>
            <w:tcW w:w="75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00" w:type="pct"/>
            <w:vAlign w:val="center"/>
          </w:tcPr>
          <w:p>
            <w:pPr>
              <w:pStyle w:val="40"/>
              <w:rPr>
                <w:rFonts w:hint="eastAsia" w:eastAsiaTheme="minorEastAsia"/>
                <w:bCs/>
                <w:color w:val="auto"/>
                <w:lang w:eastAsia="zh-CN"/>
              </w:rPr>
            </w:pPr>
            <w:r>
              <w:rPr>
                <w:rFonts w:hint="eastAsia"/>
                <w:bCs/>
                <w:color w:val="auto"/>
                <w:lang w:val="en-US" w:eastAsia="zh-CN"/>
              </w:rPr>
              <w:t>1</w:t>
            </w:r>
          </w:p>
        </w:tc>
        <w:tc>
          <w:tcPr>
            <w:tcW w:w="831" w:type="pct"/>
            <w:vMerge w:val="continue"/>
            <w:vAlign w:val="center"/>
          </w:tcPr>
          <w:p>
            <w:pPr>
              <w:pStyle w:val="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pPr>
              <w:pStyle w:val="40"/>
              <w:rPr>
                <w:color w:val="auto"/>
              </w:rPr>
            </w:pPr>
            <w:r>
              <w:rPr>
                <w:rFonts w:hint="eastAsia"/>
                <w:color w:val="auto"/>
              </w:rPr>
              <w:t>3</w:t>
            </w:r>
          </w:p>
        </w:tc>
        <w:tc>
          <w:tcPr>
            <w:tcW w:w="768" w:type="pct"/>
            <w:tcBorders>
              <w:top w:val="single" w:color="auto" w:sz="4" w:space="0"/>
              <w:left w:val="single" w:color="auto" w:sz="4" w:space="0"/>
              <w:bottom w:val="single" w:color="auto" w:sz="4" w:space="0"/>
              <w:right w:val="single" w:color="auto" w:sz="4" w:space="0"/>
            </w:tcBorders>
            <w:vAlign w:val="center"/>
          </w:tcPr>
          <w:p>
            <w:pPr>
              <w:pStyle w:val="40"/>
              <w:rPr>
                <w:bCs/>
                <w:color w:val="auto"/>
              </w:rPr>
            </w:pPr>
            <w:r>
              <w:rPr>
                <w:rFonts w:hint="eastAsia"/>
                <w:color w:val="auto"/>
              </w:rPr>
              <w:t>收集的纤维粉尘</w:t>
            </w:r>
          </w:p>
        </w:tc>
        <w:tc>
          <w:tcPr>
            <w:tcW w:w="625"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生产过程</w:t>
            </w:r>
          </w:p>
        </w:tc>
        <w:tc>
          <w:tcPr>
            <w:tcW w:w="43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94"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收集的纤维粉尘</w:t>
            </w:r>
          </w:p>
        </w:tc>
        <w:tc>
          <w:tcPr>
            <w:tcW w:w="75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00" w:type="pct"/>
            <w:vAlign w:val="center"/>
          </w:tcPr>
          <w:p>
            <w:pPr>
              <w:pStyle w:val="40"/>
              <w:rPr>
                <w:rFonts w:hint="default" w:eastAsiaTheme="minorEastAsia"/>
                <w:bCs/>
                <w:color w:val="auto"/>
                <w:lang w:val="en-US" w:eastAsia="zh-CN"/>
              </w:rPr>
            </w:pPr>
            <w:r>
              <w:rPr>
                <w:rFonts w:hint="eastAsia"/>
                <w:bCs/>
                <w:color w:val="auto"/>
                <w:lang w:val="en-US" w:eastAsia="zh-CN"/>
              </w:rPr>
              <w:t>1.2</w:t>
            </w:r>
          </w:p>
        </w:tc>
        <w:tc>
          <w:tcPr>
            <w:tcW w:w="831" w:type="pct"/>
            <w:vMerge w:val="continue"/>
            <w:vAlign w:val="center"/>
          </w:tcPr>
          <w:p>
            <w:pPr>
              <w:pStyle w:val="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pPr>
              <w:pStyle w:val="40"/>
              <w:rPr>
                <w:color w:val="auto"/>
              </w:rPr>
            </w:pPr>
            <w:r>
              <w:rPr>
                <w:rFonts w:hint="eastAsia"/>
                <w:color w:val="auto"/>
              </w:rPr>
              <w:t>4</w:t>
            </w:r>
          </w:p>
        </w:tc>
        <w:tc>
          <w:tcPr>
            <w:tcW w:w="768"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生活垃圾</w:t>
            </w:r>
          </w:p>
        </w:tc>
        <w:tc>
          <w:tcPr>
            <w:tcW w:w="625"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职工生活</w:t>
            </w:r>
          </w:p>
        </w:tc>
        <w:tc>
          <w:tcPr>
            <w:tcW w:w="43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94"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生活垃圾</w:t>
            </w:r>
          </w:p>
        </w:tc>
        <w:tc>
          <w:tcPr>
            <w:tcW w:w="75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00" w:type="pct"/>
            <w:vAlign w:val="center"/>
          </w:tcPr>
          <w:p>
            <w:pPr>
              <w:pStyle w:val="40"/>
              <w:rPr>
                <w:color w:val="auto"/>
              </w:rPr>
            </w:pPr>
            <w:r>
              <w:rPr>
                <w:rFonts w:hint="eastAsia"/>
                <w:color w:val="auto"/>
              </w:rPr>
              <w:t>17.8</w:t>
            </w:r>
          </w:p>
        </w:tc>
        <w:tc>
          <w:tcPr>
            <w:tcW w:w="831" w:type="pct"/>
            <w:vAlign w:val="center"/>
          </w:tcPr>
          <w:p>
            <w:pPr>
              <w:pStyle w:val="40"/>
              <w:rPr>
                <w:color w:val="auto"/>
              </w:rPr>
            </w:pPr>
            <w:r>
              <w:rPr>
                <w:rFonts w:hint="eastAsia"/>
                <w:color w:val="auto"/>
              </w:rPr>
              <w:t>委托环卫部门统一清运</w:t>
            </w:r>
          </w:p>
        </w:tc>
      </w:tr>
      <w:bookmarkEnd w:id="35"/>
    </w:tbl>
    <w:p>
      <w:pPr>
        <w:pStyle w:val="6"/>
        <w:spacing w:before="156" w:beforeLines="50"/>
        <w:rPr>
          <w:color w:val="auto"/>
        </w:rPr>
      </w:pPr>
      <w:r>
        <w:rPr>
          <w:rFonts w:hint="eastAsia"/>
          <w:color w:val="auto"/>
        </w:rPr>
        <w:t>4</w:t>
      </w:r>
      <w:r>
        <w:rPr>
          <w:color w:val="auto"/>
        </w:rPr>
        <w:t>.1.5</w:t>
      </w:r>
      <w:r>
        <w:rPr>
          <w:rFonts w:hint="eastAsia"/>
          <w:color w:val="auto"/>
        </w:rPr>
        <w:t>排污许可证管理制度</w:t>
      </w:r>
    </w:p>
    <w:p>
      <w:pPr>
        <w:ind w:firstLine="480"/>
        <w:rPr>
          <w:color w:val="auto"/>
        </w:rPr>
      </w:pPr>
      <w:r>
        <w:rPr>
          <w:rFonts w:hint="eastAsia"/>
          <w:color w:val="auto"/>
        </w:rPr>
        <w:t>根据《国务院办公厅关于印发控制污染物排放许可制实施方案的通知》、《排污许可管理办法条例》（国务院令第7</w:t>
      </w:r>
      <w:r>
        <w:rPr>
          <w:color w:val="auto"/>
        </w:rPr>
        <w:t>36</w:t>
      </w:r>
      <w:r>
        <w:rPr>
          <w:rFonts w:hint="eastAsia"/>
          <w:color w:val="auto"/>
        </w:rPr>
        <w:t>号）、生态环境部办公厅《关于做好固定污染源排污许可清理整顿和2020年排污许可发证登记工作的通知》（环办环评函[2019]939号）和浙江省关于固定污染源排污许可清理整顿和2020年排污许可发证登记的相关工作要求。我公司已申领排污登记表，登记编号为9133048309472667XB001Y。</w:t>
      </w:r>
    </w:p>
    <w:p>
      <w:pPr>
        <w:pStyle w:val="5"/>
        <w:rPr>
          <w:color w:val="auto"/>
        </w:rPr>
      </w:pPr>
      <w:bookmarkStart w:id="36" w:name="_Toc61959001"/>
      <w:r>
        <w:rPr>
          <w:color w:val="auto"/>
        </w:rPr>
        <w:t>4.</w:t>
      </w:r>
      <w:r>
        <w:rPr>
          <w:rFonts w:hint="eastAsia"/>
          <w:color w:val="auto"/>
        </w:rPr>
        <w:t>2</w:t>
      </w:r>
      <w:r>
        <w:rPr>
          <w:color w:val="auto"/>
        </w:rPr>
        <w:t>环保设施投资及“三同时”落实情况</w:t>
      </w:r>
      <w:bookmarkEnd w:id="36"/>
    </w:p>
    <w:p>
      <w:pPr>
        <w:ind w:firstLine="480"/>
        <w:rPr>
          <w:color w:val="auto"/>
        </w:rPr>
      </w:pPr>
      <w:r>
        <w:rPr>
          <w:color w:val="auto"/>
        </w:rPr>
        <w:t>本项目实际总投资</w:t>
      </w:r>
      <w:r>
        <w:rPr>
          <w:rFonts w:hint="eastAsia"/>
          <w:color w:val="auto"/>
          <w:lang w:eastAsia="zh-CN"/>
        </w:rPr>
        <w:t>3800</w:t>
      </w:r>
      <w:r>
        <w:rPr>
          <w:color w:val="auto"/>
        </w:rPr>
        <w:t>万元，其中环保投资</w:t>
      </w:r>
      <w:r>
        <w:rPr>
          <w:rFonts w:hint="eastAsia"/>
          <w:color w:val="auto"/>
        </w:rPr>
        <w:t>37</w:t>
      </w:r>
      <w:r>
        <w:rPr>
          <w:color w:val="auto"/>
        </w:rPr>
        <w:t>万元，占总投资额</w:t>
      </w:r>
      <w:r>
        <w:rPr>
          <w:rFonts w:hint="eastAsia"/>
          <w:color w:val="auto"/>
          <w:lang w:eastAsia="zh-CN"/>
        </w:rPr>
        <w:t>0.97%</w:t>
      </w:r>
      <w:r>
        <w:rPr>
          <w:color w:val="auto"/>
        </w:rPr>
        <w:t>。</w:t>
      </w:r>
      <w:r>
        <w:rPr>
          <w:color w:val="auto"/>
        </w:rPr>
        <w:t>具体环保投资明细见表4-</w:t>
      </w:r>
      <w:r>
        <w:rPr>
          <w:rFonts w:hint="eastAsia"/>
          <w:color w:val="auto"/>
        </w:rPr>
        <w:t>4</w:t>
      </w:r>
      <w:r>
        <w:rPr>
          <w:color w:val="auto"/>
        </w:rPr>
        <w:t>。</w:t>
      </w:r>
    </w:p>
    <w:p>
      <w:pPr>
        <w:pStyle w:val="30"/>
        <w:spacing w:before="62" w:after="31"/>
        <w:rPr>
          <w:color w:val="auto"/>
        </w:rPr>
      </w:pPr>
      <w:r>
        <w:rPr>
          <w:color w:val="auto"/>
        </w:rPr>
        <w:t>表4-</w:t>
      </w:r>
      <w:r>
        <w:rPr>
          <w:rFonts w:hint="eastAsia"/>
          <w:color w:val="auto"/>
        </w:rPr>
        <w:t>4</w:t>
      </w:r>
      <w:r>
        <w:rPr>
          <w:color w:val="auto"/>
        </w:rPr>
        <w:t>环保投资费用一览表单位：万元</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4076"/>
        <w:gridCol w:w="1080"/>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pPr>
              <w:pStyle w:val="32"/>
              <w:rPr>
                <w:b/>
                <w:bCs/>
                <w:color w:val="auto"/>
              </w:rPr>
            </w:pPr>
            <w:r>
              <w:rPr>
                <w:rFonts w:hint="eastAsia"/>
                <w:b/>
                <w:bCs/>
                <w:color w:val="auto"/>
              </w:rPr>
              <w:t>污染源</w:t>
            </w:r>
          </w:p>
        </w:tc>
        <w:tc>
          <w:tcPr>
            <w:tcW w:w="2337" w:type="pct"/>
            <w:vAlign w:val="center"/>
          </w:tcPr>
          <w:p>
            <w:pPr>
              <w:pStyle w:val="42"/>
              <w:rPr>
                <w:b/>
                <w:bCs/>
                <w:color w:val="auto"/>
              </w:rPr>
            </w:pPr>
            <w:r>
              <w:rPr>
                <w:b/>
                <w:bCs/>
                <w:color w:val="auto"/>
              </w:rPr>
              <w:t>内容</w:t>
            </w:r>
          </w:p>
        </w:tc>
        <w:tc>
          <w:tcPr>
            <w:tcW w:w="619" w:type="pct"/>
            <w:vAlign w:val="center"/>
          </w:tcPr>
          <w:p>
            <w:pPr>
              <w:pStyle w:val="32"/>
              <w:rPr>
                <w:b/>
                <w:bCs/>
                <w:color w:val="auto"/>
              </w:rPr>
            </w:pPr>
            <w:r>
              <w:rPr>
                <w:b/>
                <w:bCs/>
                <w:color w:val="auto"/>
              </w:rPr>
              <w:t>投资</w:t>
            </w:r>
          </w:p>
        </w:tc>
        <w:tc>
          <w:tcPr>
            <w:tcW w:w="1296" w:type="pct"/>
            <w:vAlign w:val="center"/>
          </w:tcPr>
          <w:p>
            <w:pPr>
              <w:pStyle w:val="32"/>
              <w:rPr>
                <w:b/>
                <w:bCs/>
                <w:color w:val="auto"/>
              </w:rPr>
            </w:pPr>
            <w:r>
              <w:rPr>
                <w:b/>
                <w:bCs/>
                <w:color w:val="auto"/>
              </w:rPr>
              <w:t>环保效益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pPr>
              <w:pStyle w:val="32"/>
              <w:rPr>
                <w:color w:val="auto"/>
              </w:rPr>
            </w:pPr>
            <w:r>
              <w:rPr>
                <w:rFonts w:hint="eastAsia"/>
                <w:color w:val="auto"/>
              </w:rPr>
              <w:t>废水</w:t>
            </w:r>
          </w:p>
        </w:tc>
        <w:tc>
          <w:tcPr>
            <w:tcW w:w="2337" w:type="pct"/>
            <w:vAlign w:val="center"/>
          </w:tcPr>
          <w:p>
            <w:pPr>
              <w:pStyle w:val="32"/>
              <w:rPr>
                <w:color w:val="auto"/>
              </w:rPr>
            </w:pPr>
            <w:r>
              <w:rPr>
                <w:rFonts w:hint="eastAsia"/>
                <w:color w:val="auto"/>
              </w:rPr>
              <w:t>建设污水管道相关设施及污水入网费</w:t>
            </w:r>
          </w:p>
        </w:tc>
        <w:tc>
          <w:tcPr>
            <w:tcW w:w="619" w:type="pct"/>
            <w:vAlign w:val="center"/>
          </w:tcPr>
          <w:p>
            <w:pPr>
              <w:pStyle w:val="32"/>
              <w:rPr>
                <w:color w:val="auto"/>
              </w:rPr>
            </w:pPr>
            <w:r>
              <w:rPr>
                <w:rFonts w:hint="eastAsia"/>
                <w:color w:val="auto"/>
              </w:rPr>
              <w:t>5</w:t>
            </w:r>
          </w:p>
        </w:tc>
        <w:tc>
          <w:tcPr>
            <w:tcW w:w="1296" w:type="pct"/>
            <w:vAlign w:val="center"/>
          </w:tcPr>
          <w:p>
            <w:pPr>
              <w:pStyle w:val="32"/>
              <w:rPr>
                <w:color w:val="auto"/>
              </w:rPr>
            </w:pPr>
            <w:r>
              <w:rPr>
                <w:color w:val="auto"/>
              </w:rPr>
              <w:t>废水达标入网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pPr>
              <w:pStyle w:val="32"/>
              <w:rPr>
                <w:color w:val="auto"/>
              </w:rPr>
            </w:pPr>
            <w:r>
              <w:rPr>
                <w:rFonts w:hint="eastAsia"/>
                <w:color w:val="auto"/>
              </w:rPr>
              <w:t>废气</w:t>
            </w:r>
          </w:p>
        </w:tc>
        <w:tc>
          <w:tcPr>
            <w:tcW w:w="2337" w:type="pct"/>
            <w:vAlign w:val="center"/>
          </w:tcPr>
          <w:p>
            <w:pPr>
              <w:pStyle w:val="32"/>
              <w:rPr>
                <w:color w:val="auto"/>
              </w:rPr>
            </w:pPr>
            <w:r>
              <w:rPr>
                <w:rFonts w:hint="eastAsia"/>
                <w:color w:val="auto"/>
              </w:rPr>
              <w:t>集气罩、布袋除尘器、车间通风设施、油烟静电净化系统</w:t>
            </w:r>
          </w:p>
        </w:tc>
        <w:tc>
          <w:tcPr>
            <w:tcW w:w="619" w:type="pct"/>
            <w:vAlign w:val="center"/>
          </w:tcPr>
          <w:p>
            <w:pPr>
              <w:pStyle w:val="32"/>
              <w:rPr>
                <w:color w:val="auto"/>
              </w:rPr>
            </w:pPr>
            <w:r>
              <w:rPr>
                <w:rFonts w:hint="eastAsia"/>
                <w:color w:val="auto"/>
              </w:rPr>
              <w:t>20</w:t>
            </w:r>
          </w:p>
        </w:tc>
        <w:tc>
          <w:tcPr>
            <w:tcW w:w="1296" w:type="pct"/>
            <w:vAlign w:val="center"/>
          </w:tcPr>
          <w:p>
            <w:pPr>
              <w:pStyle w:val="32"/>
              <w:rPr>
                <w:color w:val="auto"/>
              </w:rPr>
            </w:pPr>
            <w:r>
              <w:rPr>
                <w:rFonts w:hint="eastAsia"/>
                <w:color w:val="auto"/>
              </w:rPr>
              <w:t>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pPr>
              <w:pStyle w:val="32"/>
              <w:rPr>
                <w:color w:val="auto"/>
              </w:rPr>
            </w:pPr>
            <w:r>
              <w:rPr>
                <w:rFonts w:hint="eastAsia"/>
                <w:color w:val="auto"/>
              </w:rPr>
              <w:t>噪声</w:t>
            </w:r>
          </w:p>
        </w:tc>
        <w:tc>
          <w:tcPr>
            <w:tcW w:w="2337" w:type="pct"/>
            <w:vAlign w:val="center"/>
          </w:tcPr>
          <w:p>
            <w:pPr>
              <w:pStyle w:val="32"/>
              <w:rPr>
                <w:color w:val="auto"/>
              </w:rPr>
            </w:pPr>
            <w:r>
              <w:rPr>
                <w:rFonts w:hint="eastAsia"/>
                <w:color w:val="auto"/>
              </w:rPr>
              <w:t>减震垫、隔声罩、消音器、隔声窗等</w:t>
            </w:r>
          </w:p>
        </w:tc>
        <w:tc>
          <w:tcPr>
            <w:tcW w:w="619" w:type="pct"/>
            <w:vAlign w:val="center"/>
          </w:tcPr>
          <w:p>
            <w:pPr>
              <w:pStyle w:val="32"/>
              <w:rPr>
                <w:color w:val="auto"/>
              </w:rPr>
            </w:pPr>
            <w:r>
              <w:rPr>
                <w:rFonts w:hint="eastAsia"/>
                <w:color w:val="auto"/>
              </w:rPr>
              <w:t>10</w:t>
            </w:r>
          </w:p>
        </w:tc>
        <w:tc>
          <w:tcPr>
            <w:tcW w:w="1296" w:type="pct"/>
            <w:vAlign w:val="center"/>
          </w:tcPr>
          <w:p>
            <w:pPr>
              <w:pStyle w:val="32"/>
              <w:rPr>
                <w:color w:val="auto"/>
              </w:rPr>
            </w:pPr>
            <w:r>
              <w:rPr>
                <w:color w:val="auto"/>
              </w:rPr>
              <w:t>噪声达标排放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Align w:val="center"/>
          </w:tcPr>
          <w:p>
            <w:pPr>
              <w:pStyle w:val="32"/>
              <w:rPr>
                <w:color w:val="auto"/>
              </w:rPr>
            </w:pPr>
            <w:r>
              <w:rPr>
                <w:rFonts w:hint="eastAsia"/>
                <w:color w:val="auto"/>
              </w:rPr>
              <w:t>固废</w:t>
            </w:r>
          </w:p>
        </w:tc>
        <w:tc>
          <w:tcPr>
            <w:tcW w:w="2337" w:type="pct"/>
            <w:vAlign w:val="center"/>
          </w:tcPr>
          <w:p>
            <w:pPr>
              <w:pStyle w:val="32"/>
              <w:rPr>
                <w:color w:val="auto"/>
              </w:rPr>
            </w:pPr>
            <w:r>
              <w:rPr>
                <w:rFonts w:hint="eastAsia"/>
                <w:color w:val="auto"/>
              </w:rPr>
              <w:t>建设一般固废仓库、固废处理</w:t>
            </w:r>
          </w:p>
        </w:tc>
        <w:tc>
          <w:tcPr>
            <w:tcW w:w="619" w:type="pct"/>
            <w:vAlign w:val="center"/>
          </w:tcPr>
          <w:p>
            <w:pPr>
              <w:pStyle w:val="32"/>
              <w:rPr>
                <w:color w:val="auto"/>
              </w:rPr>
            </w:pPr>
            <w:r>
              <w:rPr>
                <w:rFonts w:hint="eastAsia"/>
                <w:color w:val="auto"/>
              </w:rPr>
              <w:t>2</w:t>
            </w:r>
          </w:p>
        </w:tc>
        <w:tc>
          <w:tcPr>
            <w:tcW w:w="1296" w:type="pct"/>
            <w:vAlign w:val="center"/>
          </w:tcPr>
          <w:p>
            <w:pPr>
              <w:pStyle w:val="32"/>
              <w:rPr>
                <w:color w:val="auto"/>
              </w:rPr>
            </w:pPr>
            <w:r>
              <w:rPr>
                <w:rFonts w:hint="eastAsia"/>
                <w:color w:val="auto"/>
              </w:rPr>
              <w:t>固废妥善</w:t>
            </w:r>
            <w:r>
              <w:rPr>
                <w:color w:val="auto"/>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5" w:type="pct"/>
            <w:gridSpan w:val="2"/>
            <w:vAlign w:val="center"/>
          </w:tcPr>
          <w:p>
            <w:pPr>
              <w:pStyle w:val="32"/>
              <w:rPr>
                <w:color w:val="auto"/>
              </w:rPr>
            </w:pPr>
            <w:r>
              <w:rPr>
                <w:color w:val="auto"/>
              </w:rPr>
              <w:t>合计</w:t>
            </w:r>
          </w:p>
        </w:tc>
        <w:tc>
          <w:tcPr>
            <w:tcW w:w="619" w:type="pct"/>
            <w:vAlign w:val="center"/>
          </w:tcPr>
          <w:p>
            <w:pPr>
              <w:pStyle w:val="32"/>
              <w:rPr>
                <w:color w:val="auto"/>
              </w:rPr>
            </w:pPr>
            <w:r>
              <w:rPr>
                <w:rFonts w:hint="eastAsia"/>
                <w:color w:val="auto"/>
              </w:rPr>
              <w:t>37</w:t>
            </w:r>
          </w:p>
        </w:tc>
        <w:tc>
          <w:tcPr>
            <w:tcW w:w="1296" w:type="pct"/>
            <w:vAlign w:val="center"/>
          </w:tcPr>
          <w:p>
            <w:pPr>
              <w:pStyle w:val="32"/>
              <w:rPr>
                <w:color w:val="auto"/>
              </w:rPr>
            </w:pPr>
            <w:r>
              <w:rPr>
                <w:rFonts w:hint="eastAsia"/>
                <w:color w:val="auto"/>
              </w:rPr>
              <w:t>/</w:t>
            </w:r>
          </w:p>
        </w:tc>
      </w:tr>
    </w:tbl>
    <w:p>
      <w:pPr>
        <w:ind w:firstLine="480"/>
        <w:rPr>
          <w:b/>
          <w:bCs/>
          <w:color w:val="auto"/>
        </w:rPr>
      </w:pPr>
      <w:r>
        <w:rPr>
          <w:color w:val="auto"/>
        </w:rPr>
        <w:t>本项目</w:t>
      </w:r>
      <w:r>
        <w:rPr>
          <w:rFonts w:ascii="宋体" w:hAnsi="宋体" w:eastAsia="宋体"/>
          <w:color w:val="auto"/>
        </w:rPr>
        <w:t>“三同时”</w:t>
      </w:r>
      <w:r>
        <w:rPr>
          <w:color w:val="auto"/>
        </w:rPr>
        <w:t>落实情况见表4-</w:t>
      </w:r>
      <w:r>
        <w:rPr>
          <w:rFonts w:hint="eastAsia"/>
          <w:color w:val="auto"/>
        </w:rPr>
        <w:t>5</w:t>
      </w:r>
      <w:r>
        <w:rPr>
          <w:color w:val="auto"/>
        </w:rPr>
        <w:t>。</w:t>
      </w:r>
    </w:p>
    <w:p>
      <w:pPr>
        <w:pStyle w:val="30"/>
        <w:spacing w:before="62" w:after="31"/>
        <w:rPr>
          <w:color w:val="auto"/>
        </w:rPr>
      </w:pPr>
      <w:r>
        <w:rPr>
          <w:color w:val="auto"/>
        </w:rPr>
        <w:t>表4-</w:t>
      </w:r>
      <w:r>
        <w:rPr>
          <w:rFonts w:hint="eastAsia"/>
          <w:color w:val="auto"/>
        </w:rPr>
        <w:t>5</w:t>
      </w:r>
      <w:r>
        <w:rPr>
          <w:rFonts w:ascii="宋体" w:hAnsi="宋体" w:eastAsia="宋体"/>
          <w:color w:val="auto"/>
        </w:rPr>
        <w:t>“三同时”</w:t>
      </w:r>
      <w:r>
        <w:rPr>
          <w:color w:val="auto"/>
        </w:rPr>
        <w:t>落实情况一览表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863"/>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vAlign w:val="center"/>
          </w:tcPr>
          <w:p>
            <w:pPr>
              <w:pStyle w:val="32"/>
              <w:rPr>
                <w:b/>
                <w:bCs/>
                <w:color w:val="auto"/>
              </w:rPr>
            </w:pPr>
            <w:r>
              <w:rPr>
                <w:b/>
                <w:bCs/>
                <w:color w:val="auto"/>
              </w:rPr>
              <w:t>类别</w:t>
            </w:r>
          </w:p>
        </w:tc>
        <w:tc>
          <w:tcPr>
            <w:tcW w:w="2214" w:type="pct"/>
            <w:vAlign w:val="center"/>
          </w:tcPr>
          <w:p>
            <w:pPr>
              <w:pStyle w:val="32"/>
              <w:rPr>
                <w:b/>
                <w:bCs/>
                <w:color w:val="auto"/>
              </w:rPr>
            </w:pPr>
            <w:r>
              <w:rPr>
                <w:b/>
                <w:bCs/>
                <w:color w:val="auto"/>
              </w:rPr>
              <w:t>环评要求</w:t>
            </w:r>
          </w:p>
        </w:tc>
        <w:tc>
          <w:tcPr>
            <w:tcW w:w="2370" w:type="pct"/>
            <w:vAlign w:val="center"/>
          </w:tcPr>
          <w:p>
            <w:pPr>
              <w:pStyle w:val="32"/>
              <w:rPr>
                <w:b/>
                <w:bCs/>
                <w:color w:val="auto"/>
              </w:rPr>
            </w:pPr>
            <w:r>
              <w:rPr>
                <w:b/>
                <w:bCs/>
                <w:color w:val="auto"/>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vAlign w:val="center"/>
          </w:tcPr>
          <w:p>
            <w:pPr>
              <w:pStyle w:val="32"/>
              <w:rPr>
                <w:color w:val="auto"/>
              </w:rPr>
            </w:pPr>
            <w:r>
              <w:rPr>
                <w:color w:val="auto"/>
              </w:rPr>
              <w:t>废水</w:t>
            </w:r>
          </w:p>
        </w:tc>
        <w:tc>
          <w:tcPr>
            <w:tcW w:w="2214" w:type="pct"/>
            <w:vAlign w:val="center"/>
          </w:tcPr>
          <w:p>
            <w:pPr>
              <w:pStyle w:val="42"/>
              <w:jc w:val="both"/>
              <w:rPr>
                <w:color w:val="auto"/>
              </w:rPr>
            </w:pPr>
            <w:r>
              <w:rPr>
                <w:rFonts w:hint="eastAsia"/>
                <w:color w:val="auto"/>
              </w:rPr>
              <w:t>项目投产后采用雨污分流制：雨水自流排入附近河流；食堂废水经隔油池处理，生活污水经化粪池预处理达到《污水综合排放标准》三级标准后，与其它生活污水一起排入污水管网，最终送污水处理厂处理达《城镇污水处理厂污染物排放标准》（GB18918-2002）中的一级A标准后排放。</w:t>
            </w:r>
          </w:p>
        </w:tc>
        <w:tc>
          <w:tcPr>
            <w:tcW w:w="2370" w:type="pct"/>
            <w:vAlign w:val="center"/>
          </w:tcPr>
          <w:p>
            <w:pPr>
              <w:pStyle w:val="40"/>
              <w:jc w:val="both"/>
              <w:rPr>
                <w:color w:val="auto"/>
              </w:rPr>
            </w:pPr>
            <w:r>
              <w:rPr>
                <w:color w:val="auto"/>
              </w:rPr>
              <w:t>已落实。</w:t>
            </w:r>
          </w:p>
          <w:p>
            <w:pPr>
              <w:pStyle w:val="42"/>
              <w:jc w:val="both"/>
              <w:rPr>
                <w:b/>
                <w:bCs/>
                <w:color w:val="auto"/>
              </w:rPr>
            </w:pPr>
            <w:r>
              <w:rPr>
                <w:rFonts w:hint="eastAsia"/>
                <w:color w:val="auto"/>
              </w:rPr>
              <w:t>公司实行清污分流、雨污分流，雨水就近排入附近河道。</w:t>
            </w:r>
          </w:p>
          <w:p>
            <w:pPr>
              <w:pStyle w:val="42"/>
              <w:jc w:val="both"/>
              <w:rPr>
                <w:color w:val="auto"/>
              </w:rPr>
            </w:pPr>
            <w:r>
              <w:rPr>
                <w:rFonts w:hint="eastAsia"/>
                <w:color w:val="auto"/>
              </w:rPr>
              <w:t>本项目不产生生产废水，仅产生员工生活污水，经化粪池、隔油池预处理达到《污水综合排放标准》（GB8978-1996）表4中三级标准及《工业企业废水氮、磷污染物间接排放限值》（DB33/887-2013）中相关规定后，纳入区域污水收集管网，最终经桐乡市城市污水处理有限责任公司统一处理达到GB18918-2002《城镇污水处理厂污染物排放标准》表1中一级A标准后排放钱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vAlign w:val="center"/>
          </w:tcPr>
          <w:p>
            <w:pPr>
              <w:pStyle w:val="32"/>
              <w:rPr>
                <w:color w:val="auto"/>
              </w:rPr>
            </w:pPr>
            <w:r>
              <w:rPr>
                <w:color w:val="auto"/>
              </w:rPr>
              <w:t>废气</w:t>
            </w:r>
          </w:p>
        </w:tc>
        <w:tc>
          <w:tcPr>
            <w:tcW w:w="2214" w:type="pct"/>
            <w:vAlign w:val="center"/>
          </w:tcPr>
          <w:p>
            <w:pPr>
              <w:pStyle w:val="42"/>
              <w:jc w:val="both"/>
              <w:rPr>
                <w:color w:val="auto"/>
              </w:rPr>
            </w:pPr>
            <w:r>
              <w:rPr>
                <w:rFonts w:hint="eastAsia"/>
                <w:color w:val="auto"/>
              </w:rPr>
              <w:t>本项目生产过程中产生的废气主要为和毛油剂废气和和毛、开松、梳棉等生产过程产生的纤维粉尘，以及职工食堂油烟废气。</w:t>
            </w:r>
          </w:p>
          <w:p>
            <w:pPr>
              <w:pStyle w:val="42"/>
              <w:jc w:val="both"/>
              <w:rPr>
                <w:color w:val="auto"/>
              </w:rPr>
            </w:pPr>
            <w:r>
              <w:rPr>
                <w:rFonts w:hint="eastAsia"/>
                <w:color w:val="auto"/>
              </w:rPr>
              <w:t>和毛油剂废气产生量较少，要求落实车间通风，同时加强人员个人防护；纤维粉尘通过车间内安装的集气罩，收集后经布袋除尘器处理后在15m高排气筒高空排放；食堂油烟通过油烟净化器收集净化处理后实现达标排放。</w:t>
            </w:r>
          </w:p>
        </w:tc>
        <w:tc>
          <w:tcPr>
            <w:tcW w:w="2370" w:type="pct"/>
            <w:vAlign w:val="center"/>
          </w:tcPr>
          <w:p>
            <w:pPr>
              <w:pStyle w:val="42"/>
              <w:jc w:val="both"/>
              <w:rPr>
                <w:color w:val="auto"/>
              </w:rPr>
            </w:pPr>
            <w:r>
              <w:rPr>
                <w:color w:val="auto"/>
              </w:rPr>
              <w:t>已落实。</w:t>
            </w:r>
          </w:p>
          <w:p>
            <w:pPr>
              <w:pStyle w:val="42"/>
              <w:jc w:val="both"/>
              <w:rPr>
                <w:color w:val="auto"/>
              </w:rPr>
            </w:pPr>
            <w:r>
              <w:rPr>
                <w:rFonts w:hint="eastAsia"/>
                <w:color w:val="auto"/>
              </w:rPr>
              <w:t>公司通过加强车间通风减少和毛油剂废气对周围环境的影响，同时加强人员个人防护；纤维粉尘收集后经布袋除尘器处理后在15m高排气筒高空排放；食堂油烟通过安装油烟净化器收集净化处理后实现达标排放。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vAlign w:val="center"/>
          </w:tcPr>
          <w:p>
            <w:pPr>
              <w:pStyle w:val="32"/>
              <w:rPr>
                <w:color w:val="auto"/>
              </w:rPr>
            </w:pPr>
            <w:r>
              <w:rPr>
                <w:rFonts w:hint="eastAsia"/>
                <w:color w:val="auto"/>
              </w:rPr>
              <w:t>噪声</w:t>
            </w:r>
          </w:p>
        </w:tc>
        <w:tc>
          <w:tcPr>
            <w:tcW w:w="2214" w:type="pct"/>
            <w:vAlign w:val="center"/>
          </w:tcPr>
          <w:p>
            <w:pPr>
              <w:pStyle w:val="42"/>
              <w:jc w:val="both"/>
              <w:rPr>
                <w:color w:val="auto"/>
              </w:rPr>
            </w:pPr>
            <w:r>
              <w:rPr>
                <w:rFonts w:hint="eastAsia"/>
                <w:color w:val="auto"/>
              </w:rPr>
              <w:t>本项目噪声主要来自于生产设备的运行噪声。</w:t>
            </w:r>
          </w:p>
          <w:p>
            <w:pPr>
              <w:pStyle w:val="42"/>
              <w:jc w:val="both"/>
              <w:rPr>
                <w:color w:val="auto"/>
              </w:rPr>
            </w:pPr>
            <w:r>
              <w:rPr>
                <w:rFonts w:hint="eastAsia"/>
                <w:color w:val="auto"/>
              </w:rPr>
              <w:t>要求合理布置车间，车间布置在厂区中部，生产过程保持门窗关闭；设备选型上应充分注意选择低噪声设备，对高噪声设备应安装减震垫、隔声罩，风机安装消声器；加强设备的日常维修、更新，确保所有设备能在良好的状态下工作。</w:t>
            </w:r>
          </w:p>
        </w:tc>
        <w:tc>
          <w:tcPr>
            <w:tcW w:w="2370" w:type="pct"/>
            <w:vAlign w:val="center"/>
          </w:tcPr>
          <w:p>
            <w:pPr>
              <w:pStyle w:val="42"/>
              <w:jc w:val="both"/>
              <w:rPr>
                <w:color w:val="auto"/>
              </w:rPr>
            </w:pPr>
            <w:r>
              <w:rPr>
                <w:rFonts w:hint="eastAsia"/>
                <w:color w:val="auto"/>
              </w:rPr>
              <w:t>已落实。</w:t>
            </w:r>
          </w:p>
          <w:p>
            <w:pPr>
              <w:pStyle w:val="42"/>
              <w:jc w:val="both"/>
              <w:rPr>
                <w:color w:val="auto"/>
              </w:rPr>
            </w:pPr>
            <w:r>
              <w:rPr>
                <w:rFonts w:hint="eastAsia"/>
                <w:color w:val="auto"/>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vAlign w:val="center"/>
          </w:tcPr>
          <w:p>
            <w:pPr>
              <w:pStyle w:val="32"/>
              <w:rPr>
                <w:color w:val="auto"/>
              </w:rPr>
            </w:pPr>
            <w:r>
              <w:rPr>
                <w:rFonts w:hint="eastAsia"/>
                <w:color w:val="auto"/>
              </w:rPr>
              <w:t>固废</w:t>
            </w:r>
          </w:p>
        </w:tc>
        <w:tc>
          <w:tcPr>
            <w:tcW w:w="2214" w:type="pct"/>
            <w:vAlign w:val="center"/>
          </w:tcPr>
          <w:p>
            <w:pPr>
              <w:pStyle w:val="42"/>
              <w:jc w:val="both"/>
              <w:rPr>
                <w:color w:val="auto"/>
              </w:rPr>
            </w:pPr>
            <w:r>
              <w:rPr>
                <w:rFonts w:hint="eastAsia"/>
                <w:color w:val="auto"/>
              </w:rPr>
              <w:t>本项目产生的固体废物主要有废丝、收集的纤维粉尘、废包装材料和职工生活垃圾。</w:t>
            </w:r>
          </w:p>
          <w:p>
            <w:pPr>
              <w:pStyle w:val="42"/>
              <w:jc w:val="both"/>
              <w:rPr>
                <w:color w:val="auto"/>
              </w:rPr>
            </w:pPr>
            <w:r>
              <w:rPr>
                <w:rFonts w:hint="eastAsia"/>
                <w:color w:val="auto"/>
              </w:rPr>
              <w:t>废丝、收集的纤维粉尘、废包装材料收集后外售物资回收公司；职工生活垃圾由环卫部门统一清运。</w:t>
            </w:r>
          </w:p>
        </w:tc>
        <w:tc>
          <w:tcPr>
            <w:tcW w:w="2370" w:type="pct"/>
            <w:vAlign w:val="center"/>
          </w:tcPr>
          <w:p>
            <w:pPr>
              <w:pStyle w:val="42"/>
              <w:jc w:val="both"/>
              <w:rPr>
                <w:color w:val="auto"/>
              </w:rPr>
            </w:pPr>
            <w:r>
              <w:rPr>
                <w:rFonts w:hint="eastAsia"/>
                <w:color w:val="auto"/>
              </w:rPr>
              <w:t>已落实。</w:t>
            </w:r>
          </w:p>
          <w:p>
            <w:pPr>
              <w:pStyle w:val="42"/>
              <w:jc w:val="both"/>
              <w:rPr>
                <w:color w:val="auto"/>
              </w:rPr>
            </w:pPr>
            <w:r>
              <w:rPr>
                <w:rFonts w:hint="eastAsia"/>
                <w:color w:val="auto"/>
              </w:rPr>
              <w:t>本项目产生的和毛油包装空桶由生产厂家回收再利用，产生的和毛油包装空桶由生产厂家回收再利用</w:t>
            </w:r>
            <w:r>
              <w:rPr>
                <w:rFonts w:hint="eastAsia"/>
                <w:color w:val="auto"/>
              </w:rPr>
              <w:t>产生的废丝、废包装材料、收集的纤维粉尘由公司收集后外售物资回收公司进行综合利用；职工生活垃圾在厂内定点收集，由环卫部门统一清运。</w:t>
            </w:r>
          </w:p>
        </w:tc>
      </w:tr>
    </w:tbl>
    <w:p>
      <w:pPr>
        <w:pStyle w:val="2"/>
        <w:ind w:left="480" w:firstLine="480"/>
        <w:rPr>
          <w:color w:val="auto"/>
        </w:rPr>
      </w:pPr>
    </w:p>
    <w:p>
      <w:pPr>
        <w:pStyle w:val="2"/>
        <w:ind w:left="480" w:firstLine="480"/>
        <w:rPr>
          <w:color w:val="auto"/>
        </w:rPr>
        <w:sectPr>
          <w:pgSz w:w="11906" w:h="16838"/>
          <w:pgMar w:top="1418" w:right="1701" w:bottom="1418" w:left="1701" w:header="851" w:footer="992" w:gutter="0"/>
          <w:pgNumType w:fmt="numberInDash"/>
          <w:cols w:space="425" w:num="1"/>
          <w:titlePg/>
          <w:docGrid w:type="lines" w:linePitch="312" w:charSpace="0"/>
        </w:sectPr>
      </w:pPr>
    </w:p>
    <w:p>
      <w:pPr>
        <w:pStyle w:val="4"/>
        <w:rPr>
          <w:color w:val="auto"/>
        </w:rPr>
      </w:pPr>
      <w:bookmarkStart w:id="37" w:name="_Toc61959002"/>
      <w:bookmarkStart w:id="38" w:name="_Toc515273914"/>
      <w:r>
        <w:rPr>
          <w:rFonts w:hint="eastAsia"/>
          <w:color w:val="auto"/>
        </w:rPr>
        <w:t>5</w:t>
      </w:r>
      <w:r>
        <w:rPr>
          <w:color w:val="auto"/>
        </w:rPr>
        <w:t>建设项目环评报告</w:t>
      </w:r>
      <w:r>
        <w:rPr>
          <w:rFonts w:hint="eastAsia"/>
          <w:color w:val="auto"/>
        </w:rPr>
        <w:t>表</w:t>
      </w:r>
      <w:r>
        <w:rPr>
          <w:color w:val="auto"/>
        </w:rPr>
        <w:t>的主要结论与建议及审批部门审批决定</w:t>
      </w:r>
      <w:bookmarkEnd w:id="37"/>
      <w:bookmarkEnd w:id="38"/>
    </w:p>
    <w:p>
      <w:pPr>
        <w:pStyle w:val="5"/>
        <w:rPr>
          <w:color w:val="auto"/>
        </w:rPr>
      </w:pPr>
      <w:bookmarkStart w:id="39" w:name="_Toc515273915"/>
      <w:bookmarkStart w:id="40" w:name="_Toc61959003"/>
      <w:r>
        <w:rPr>
          <w:color w:val="auto"/>
        </w:rPr>
        <w:t>5.1建设项目环评报告</w:t>
      </w:r>
      <w:r>
        <w:rPr>
          <w:rFonts w:hint="eastAsia"/>
          <w:color w:val="auto"/>
        </w:rPr>
        <w:t>表</w:t>
      </w:r>
      <w:r>
        <w:rPr>
          <w:color w:val="auto"/>
        </w:rPr>
        <w:t>的主要结论与建议</w:t>
      </w:r>
      <w:bookmarkEnd w:id="39"/>
      <w:bookmarkEnd w:id="40"/>
    </w:p>
    <w:p>
      <w:pPr>
        <w:ind w:firstLine="0" w:firstLineChars="0"/>
        <w:rPr>
          <w:rFonts w:eastAsia="宋体" w:cs="Times New Roman"/>
          <w:b/>
          <w:bCs/>
          <w:color w:val="auto"/>
        </w:rPr>
      </w:pPr>
      <w:r>
        <w:rPr>
          <w:rFonts w:eastAsia="宋体" w:cs="Times New Roman"/>
          <w:b/>
          <w:bCs/>
          <w:color w:val="auto"/>
        </w:rPr>
        <w:t>5.1.1水环境影响分析</w:t>
      </w:r>
    </w:p>
    <w:p>
      <w:pPr>
        <w:ind w:firstLine="480"/>
        <w:rPr>
          <w:color w:val="auto"/>
        </w:rPr>
      </w:pPr>
      <w:r>
        <w:rPr>
          <w:rFonts w:hint="eastAsia"/>
          <w:color w:val="auto"/>
        </w:rPr>
        <w:t>项目投产后采用雨污分流制：雨水自流排入附近河流；食堂废水经隔油池处理，生活污水经化粪池预处理达到《污水综合排放标准》三级标准后，与其它生活污水一起排入污水管网，最终送污水处理厂处理达《城镇污水处理厂污染物排放标准》（GB</w:t>
      </w:r>
      <w:r>
        <w:rPr>
          <w:color w:val="auto"/>
        </w:rPr>
        <w:t>18918-2002</w:t>
      </w:r>
      <w:r>
        <w:rPr>
          <w:rFonts w:hint="eastAsia"/>
          <w:color w:val="auto"/>
        </w:rPr>
        <w:t>）中的一级A标准后排放。</w:t>
      </w:r>
    </w:p>
    <w:p>
      <w:pPr>
        <w:ind w:firstLine="480"/>
        <w:rPr>
          <w:color w:val="auto"/>
        </w:rPr>
      </w:pPr>
      <w:r>
        <w:rPr>
          <w:rFonts w:hint="eastAsia"/>
          <w:color w:val="auto"/>
        </w:rPr>
        <w:t>项目污染物排放较少，因此本项目正常运行情况下对周围水环境的影响很小。</w:t>
      </w:r>
    </w:p>
    <w:p>
      <w:pPr>
        <w:ind w:firstLine="0" w:firstLineChars="0"/>
        <w:rPr>
          <w:rFonts w:eastAsia="宋体" w:cs="Times New Roman"/>
          <w:b/>
          <w:bCs/>
          <w:color w:val="auto"/>
        </w:rPr>
      </w:pPr>
      <w:r>
        <w:rPr>
          <w:rFonts w:eastAsia="宋体" w:cs="Times New Roman"/>
          <w:b/>
          <w:bCs/>
          <w:color w:val="auto"/>
        </w:rPr>
        <w:t>5.1.2大气环境影响分析</w:t>
      </w:r>
    </w:p>
    <w:p>
      <w:pPr>
        <w:ind w:firstLine="480"/>
        <w:rPr>
          <w:rFonts w:cs="Times New Roman"/>
          <w:color w:val="auto"/>
        </w:rPr>
      </w:pPr>
      <w:r>
        <w:rPr>
          <w:rFonts w:hint="eastAsia"/>
          <w:color w:val="auto"/>
        </w:rPr>
        <w:t>和毛油剂废气产生量较少，要求落实车间通风，同时加强人员个人防护；</w:t>
      </w:r>
      <w:r>
        <w:rPr>
          <w:rFonts w:hint="eastAsia" w:cs="Times New Roman"/>
          <w:color w:val="auto"/>
        </w:rPr>
        <w:t>纤维粉尘通过车间内安装的集气罩，收集后经布袋除尘器处理后在15m高排气筒高空排放；食堂油烟通过油烟净化器收集净化处理后实现达标排放。</w:t>
      </w:r>
    </w:p>
    <w:p>
      <w:pPr>
        <w:ind w:firstLine="480"/>
        <w:rPr>
          <w:rFonts w:cs="Times New Roman"/>
          <w:color w:val="auto"/>
        </w:rPr>
      </w:pPr>
      <w:r>
        <w:rPr>
          <w:rFonts w:hint="eastAsia" w:cs="Times New Roman"/>
          <w:color w:val="auto"/>
        </w:rPr>
        <w:t>生产过程中落实好各项废气处理措施后，废气可做到达标排放，对周围环境影响较小。</w:t>
      </w:r>
    </w:p>
    <w:p>
      <w:pPr>
        <w:ind w:firstLine="0" w:firstLineChars="0"/>
        <w:rPr>
          <w:rFonts w:cs="Times New Roman"/>
          <w:b/>
          <w:bCs/>
          <w:color w:val="auto"/>
        </w:rPr>
      </w:pPr>
      <w:r>
        <w:rPr>
          <w:rFonts w:cs="Times New Roman"/>
          <w:b/>
          <w:bCs/>
          <w:color w:val="auto"/>
        </w:rPr>
        <w:t>5.1.3声环境影响分析结论</w:t>
      </w:r>
    </w:p>
    <w:p>
      <w:pPr>
        <w:ind w:firstLine="480"/>
        <w:rPr>
          <w:color w:val="auto"/>
        </w:rPr>
      </w:pPr>
      <w:r>
        <w:rPr>
          <w:rFonts w:hint="eastAsia"/>
          <w:color w:val="auto"/>
        </w:rPr>
        <w:t>本项目噪声主要来自于生产设备的运行噪声。</w:t>
      </w:r>
    </w:p>
    <w:p>
      <w:pPr>
        <w:ind w:firstLine="480"/>
        <w:rPr>
          <w:color w:val="auto"/>
        </w:rPr>
      </w:pPr>
      <w:r>
        <w:rPr>
          <w:rFonts w:hint="eastAsia"/>
          <w:color w:val="auto"/>
        </w:rPr>
        <w:t>要求合理布置车间，车间布置在厂区中部，生产过程保持门窗关闭；设备选型上应充分注意选择低噪声设备，对高噪声设备应安装减震垫、隔声罩，风机安装消声器；加强设备的日常维修、更新，确保所有设备能在良好的状态下工作。</w:t>
      </w:r>
    </w:p>
    <w:p>
      <w:pPr>
        <w:ind w:firstLine="480"/>
        <w:rPr>
          <w:color w:val="auto"/>
        </w:rPr>
      </w:pPr>
      <w:r>
        <w:rPr>
          <w:rFonts w:hint="eastAsia"/>
          <w:color w:val="auto"/>
        </w:rPr>
        <w:t>通过落实各项噪声防治措施后，项目投运后产生的噪声不会带来明显影响。</w:t>
      </w:r>
    </w:p>
    <w:p>
      <w:pPr>
        <w:ind w:firstLine="0" w:firstLineChars="0"/>
        <w:rPr>
          <w:rFonts w:cs="Times New Roman"/>
          <w:b/>
          <w:bCs/>
          <w:color w:val="auto"/>
        </w:rPr>
      </w:pPr>
      <w:r>
        <w:rPr>
          <w:rFonts w:cs="Times New Roman"/>
          <w:b/>
          <w:bCs/>
          <w:color w:val="auto"/>
        </w:rPr>
        <w:t>5.1.4固废影响分析结论</w:t>
      </w:r>
    </w:p>
    <w:p>
      <w:pPr>
        <w:ind w:firstLine="480"/>
        <w:rPr>
          <w:color w:val="auto"/>
        </w:rPr>
      </w:pPr>
      <w:r>
        <w:rPr>
          <w:rFonts w:hint="eastAsia"/>
          <w:color w:val="auto"/>
        </w:rPr>
        <w:t>本项目产生的固体废物主要有废丝、收集的纤维粉尘、废包装材料和职工生活垃圾。</w:t>
      </w:r>
    </w:p>
    <w:p>
      <w:pPr>
        <w:ind w:firstLine="480"/>
        <w:rPr>
          <w:color w:val="auto"/>
        </w:rPr>
      </w:pPr>
      <w:r>
        <w:rPr>
          <w:rFonts w:hint="eastAsia"/>
          <w:color w:val="auto"/>
        </w:rPr>
        <w:t>废丝、收集的纤维粉尘、废包装材料收集后外售物资回收公司；职工生活垃圾由环卫部门统一清运。</w:t>
      </w:r>
    </w:p>
    <w:p>
      <w:pPr>
        <w:ind w:firstLine="480"/>
        <w:rPr>
          <w:color w:val="auto"/>
        </w:rPr>
      </w:pPr>
      <w:r>
        <w:rPr>
          <w:rFonts w:hint="eastAsia"/>
          <w:color w:val="auto"/>
        </w:rPr>
        <w:t>只要妥善落实好生活垃圾及其它固体废弃物，做到及时清运及处置工作，项目固体废弃物对周围环境影响很小。</w:t>
      </w:r>
    </w:p>
    <w:p>
      <w:pPr>
        <w:pStyle w:val="35"/>
        <w:spacing w:before="0" w:line="360" w:lineRule="auto"/>
        <w:ind w:firstLine="0" w:firstLineChars="0"/>
        <w:rPr>
          <w:b/>
          <w:bCs/>
          <w:color w:val="auto"/>
        </w:rPr>
      </w:pPr>
      <w:r>
        <w:rPr>
          <w:rFonts w:hint="eastAsia" w:eastAsia="宋体"/>
          <w:b/>
          <w:bCs/>
          <w:color w:val="auto"/>
        </w:rPr>
        <w:t>5.1.5</w:t>
      </w:r>
      <w:r>
        <w:rPr>
          <w:b/>
          <w:bCs/>
          <w:color w:val="auto"/>
        </w:rPr>
        <w:t>总量控制分析结论</w:t>
      </w:r>
    </w:p>
    <w:p>
      <w:pPr>
        <w:ind w:firstLine="482"/>
        <w:rPr>
          <w:b/>
          <w:bCs/>
          <w:color w:val="auto"/>
        </w:rPr>
      </w:pPr>
      <w:r>
        <w:rPr>
          <w:b/>
          <w:bCs/>
          <w:color w:val="auto"/>
        </w:rPr>
        <w:t>1</w:t>
      </w:r>
      <w:r>
        <w:rPr>
          <w:rFonts w:hint="eastAsia"/>
          <w:b/>
          <w:bCs/>
          <w:color w:val="auto"/>
        </w:rPr>
        <w:t>、COD</w:t>
      </w:r>
      <w:r>
        <w:rPr>
          <w:rFonts w:hint="eastAsia"/>
          <w:b/>
          <w:bCs/>
          <w:color w:val="auto"/>
          <w:vertAlign w:val="subscript"/>
        </w:rPr>
        <w:t>Cr</w:t>
      </w:r>
      <w:r>
        <w:rPr>
          <w:rFonts w:hint="eastAsia"/>
          <w:b/>
          <w:bCs/>
          <w:color w:val="auto"/>
        </w:rPr>
        <w:t>、NH</w:t>
      </w:r>
      <w:r>
        <w:rPr>
          <w:rFonts w:hint="eastAsia"/>
          <w:b/>
          <w:bCs/>
          <w:color w:val="auto"/>
          <w:vertAlign w:val="subscript"/>
        </w:rPr>
        <w:t>3</w:t>
      </w:r>
      <w:r>
        <w:rPr>
          <w:rFonts w:hint="eastAsia"/>
          <w:b/>
          <w:bCs/>
          <w:color w:val="auto"/>
        </w:rPr>
        <w:t>-N总量控制指标</w:t>
      </w:r>
    </w:p>
    <w:p>
      <w:pPr>
        <w:ind w:firstLine="480"/>
        <w:rPr>
          <w:rFonts w:hAnsi="宋体"/>
          <w:color w:val="auto"/>
        </w:rPr>
      </w:pPr>
      <w:r>
        <w:rPr>
          <w:rFonts w:hint="eastAsia" w:eastAsia="宋体" w:cs="Times New Roman"/>
          <w:color w:val="auto"/>
        </w:rPr>
        <w:t>根据《桐乡市鸿尔纺织有限公司年产600吨高档粗纺羊绒纱项目环境影响报告表》，企业生产过程中无生产废水产生，产生的只有职工生活污水，生活污水排放量为3240t/a。</w:t>
      </w:r>
      <w:r>
        <w:rPr>
          <w:color w:val="auto"/>
        </w:rPr>
        <w:t>企业区域内污水管网已经接通，项目废水可直接实现纳管排放，最终经</w:t>
      </w:r>
      <w:r>
        <w:rPr>
          <w:rFonts w:hint="eastAsia"/>
          <w:color w:val="auto"/>
        </w:rPr>
        <w:t>桐乡市城市污水处理有限责任公司</w:t>
      </w:r>
      <w:r>
        <w:rPr>
          <w:color w:val="auto"/>
        </w:rPr>
        <w:t>处理</w:t>
      </w:r>
      <w:r>
        <w:rPr>
          <w:rFonts w:hint="eastAsia"/>
          <w:color w:val="auto"/>
        </w:rPr>
        <w:t>达到《城镇污水处理厂污染物排放标准》（GB18918-2002）表1中一级A标准（即COD</w:t>
      </w:r>
      <w:r>
        <w:rPr>
          <w:rFonts w:hint="eastAsia"/>
          <w:color w:val="auto"/>
          <w:vertAlign w:val="subscript"/>
        </w:rPr>
        <w:t>Cr</w:t>
      </w:r>
      <w:r>
        <w:rPr>
          <w:rFonts w:hint="eastAsia"/>
          <w:color w:val="auto"/>
        </w:rPr>
        <w:t>≤50mg/L、NH</w:t>
      </w:r>
      <w:r>
        <w:rPr>
          <w:rFonts w:hint="eastAsia"/>
          <w:color w:val="auto"/>
          <w:vertAlign w:val="subscript"/>
        </w:rPr>
        <w:t>3</w:t>
      </w:r>
      <w:r>
        <w:rPr>
          <w:rFonts w:hint="eastAsia"/>
          <w:color w:val="auto"/>
        </w:rPr>
        <w:t>-N≤5mg/L）后排江</w:t>
      </w:r>
      <w:r>
        <w:rPr>
          <w:rFonts w:hAnsi="宋体"/>
          <w:color w:val="auto"/>
        </w:rPr>
        <w:t>。</w:t>
      </w:r>
      <w:r>
        <w:rPr>
          <w:rFonts w:hint="eastAsia" w:hAnsi="宋体"/>
          <w:color w:val="auto"/>
        </w:rPr>
        <w:t>废水中COD</w:t>
      </w:r>
      <w:r>
        <w:rPr>
          <w:rFonts w:hint="eastAsia" w:hAnsi="宋体"/>
          <w:color w:val="auto"/>
          <w:vertAlign w:val="subscript"/>
        </w:rPr>
        <w:t>Cr</w:t>
      </w:r>
      <w:r>
        <w:rPr>
          <w:rFonts w:hint="eastAsia" w:hAnsi="宋体"/>
          <w:color w:val="auto"/>
        </w:rPr>
        <w:t>和氨氮污染物排放量为：0.162t/a和0.</w:t>
      </w:r>
      <w:r>
        <w:rPr>
          <w:rFonts w:hAnsi="宋体"/>
          <w:color w:val="auto"/>
        </w:rPr>
        <w:t>01</w:t>
      </w:r>
      <w:r>
        <w:rPr>
          <w:rFonts w:hint="eastAsia" w:hAnsi="宋体"/>
          <w:color w:val="auto"/>
        </w:rPr>
        <w:t>6t/a，建议将上述达标排放量作为总量控制指标。</w:t>
      </w:r>
    </w:p>
    <w:p>
      <w:pPr>
        <w:ind w:firstLine="480"/>
        <w:rPr>
          <w:rFonts w:hAnsi="宋体"/>
          <w:color w:val="auto"/>
        </w:rPr>
      </w:pPr>
      <w:bookmarkStart w:id="41" w:name="_Hlk82095034"/>
      <w:r>
        <w:rPr>
          <w:rFonts w:hAnsi="宋体"/>
          <w:color w:val="auto"/>
        </w:rPr>
        <w:t>根据关于印发《浙江省建设项目主要污染物总量准入审核办法（试行）》的通知（浙环发</w:t>
      </w:r>
      <w:r>
        <w:rPr>
          <w:rFonts w:hint="eastAsia" w:hAnsi="宋体"/>
          <w:color w:val="auto"/>
        </w:rPr>
        <w:t>[</w:t>
      </w:r>
      <w:r>
        <w:rPr>
          <w:rFonts w:hAnsi="宋体"/>
          <w:color w:val="auto"/>
        </w:rPr>
        <w:t>2012</w:t>
      </w:r>
      <w:r>
        <w:rPr>
          <w:rFonts w:hint="eastAsia" w:hAnsi="宋体"/>
          <w:color w:val="auto"/>
        </w:rPr>
        <w:t>]</w:t>
      </w:r>
      <w:r>
        <w:rPr>
          <w:rFonts w:hAnsi="宋体"/>
          <w:color w:val="auto"/>
        </w:rPr>
        <w:t>10号），新建、改建、扩建项目不排放生产废水且排放的水主要污染物仅源自厂区内独立生活区域所排放生活污水的，其新增的化学需氧量和氨氮两项主要污染物排放量可不进行区域替代削减。</w:t>
      </w:r>
    </w:p>
    <w:bookmarkEnd w:id="41"/>
    <w:p>
      <w:pPr>
        <w:ind w:firstLine="482"/>
        <w:rPr>
          <w:rFonts w:hAnsi="宋体"/>
          <w:b/>
          <w:bCs/>
          <w:color w:val="auto"/>
        </w:rPr>
      </w:pPr>
      <w:r>
        <w:rPr>
          <w:rFonts w:hint="eastAsia" w:hAnsi="宋体"/>
          <w:b/>
          <w:bCs/>
          <w:color w:val="auto"/>
        </w:rPr>
        <w:t>2、颗粒物总量控制指标</w:t>
      </w:r>
    </w:p>
    <w:p>
      <w:pPr>
        <w:ind w:firstLine="480"/>
        <w:rPr>
          <w:color w:val="auto"/>
        </w:rPr>
      </w:pPr>
      <w:bookmarkStart w:id="42" w:name="_Hlk82094750"/>
      <w:r>
        <w:rPr>
          <w:rFonts w:hint="eastAsia"/>
          <w:color w:val="auto"/>
        </w:rPr>
        <w:t>根据《桐乡市鸿尔纺织有限公司年产600吨高档粗纺羊绒纱项目环境影响报告表》，本项目生产过程纤维粉尘产生量为3t/a，粉尘经集气罩收集后经布袋除尘器除尘，收集率按60%计，有组织产生量为1.8t/a，布袋除尘器处理率按80%计，则有组织粉尘排放量为0.36t/a，无组织粉尘排放量为1.2t/a</w:t>
      </w:r>
      <w:bookmarkEnd w:id="42"/>
      <w:r>
        <w:rPr>
          <w:rFonts w:hint="eastAsia"/>
          <w:color w:val="auto"/>
        </w:rPr>
        <w:t>。</w:t>
      </w:r>
    </w:p>
    <w:p>
      <w:pPr>
        <w:pStyle w:val="30"/>
        <w:spacing w:before="62" w:after="31"/>
        <w:rPr>
          <w:color w:val="auto"/>
        </w:rPr>
      </w:pPr>
      <w:r>
        <w:rPr>
          <w:rFonts w:hint="eastAsia"/>
          <w:color w:val="auto"/>
        </w:rPr>
        <w:t>表</w:t>
      </w:r>
      <w:r>
        <w:rPr>
          <w:color w:val="auto"/>
        </w:rPr>
        <w:t>5-1</w:t>
      </w:r>
      <w:r>
        <w:rPr>
          <w:rFonts w:hint="eastAsia"/>
          <w:color w:val="auto"/>
        </w:rPr>
        <w:t>污染物排放总量控制指标表单位：t/a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716"/>
        <w:gridCol w:w="1716"/>
        <w:gridCol w:w="171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pct"/>
            <w:vAlign w:val="center"/>
          </w:tcPr>
          <w:p>
            <w:pPr>
              <w:pStyle w:val="42"/>
              <w:rPr>
                <w:b/>
                <w:bCs/>
                <w:color w:val="auto"/>
              </w:rPr>
            </w:pPr>
            <w:r>
              <w:rPr>
                <w:b/>
                <w:bCs/>
                <w:color w:val="auto"/>
              </w:rPr>
              <w:t>污染物</w:t>
            </w:r>
          </w:p>
        </w:tc>
        <w:tc>
          <w:tcPr>
            <w:tcW w:w="984" w:type="pct"/>
            <w:vAlign w:val="center"/>
          </w:tcPr>
          <w:p>
            <w:pPr>
              <w:pStyle w:val="42"/>
              <w:rPr>
                <w:b/>
                <w:bCs/>
                <w:color w:val="auto"/>
              </w:rPr>
            </w:pPr>
            <w:r>
              <w:rPr>
                <w:b/>
                <w:bCs/>
                <w:color w:val="auto"/>
              </w:rPr>
              <w:t>本项目排放量</w:t>
            </w:r>
          </w:p>
        </w:tc>
        <w:tc>
          <w:tcPr>
            <w:tcW w:w="984" w:type="pct"/>
            <w:vAlign w:val="center"/>
          </w:tcPr>
          <w:p>
            <w:pPr>
              <w:pStyle w:val="42"/>
              <w:rPr>
                <w:b/>
                <w:bCs/>
                <w:color w:val="auto"/>
              </w:rPr>
            </w:pPr>
            <w:r>
              <w:rPr>
                <w:rFonts w:hint="eastAsia"/>
                <w:b/>
                <w:bCs/>
                <w:color w:val="auto"/>
              </w:rPr>
              <w:t>区域削减量</w:t>
            </w:r>
          </w:p>
        </w:tc>
        <w:tc>
          <w:tcPr>
            <w:tcW w:w="984" w:type="pct"/>
            <w:vAlign w:val="center"/>
          </w:tcPr>
          <w:p>
            <w:pPr>
              <w:pStyle w:val="42"/>
              <w:rPr>
                <w:b/>
                <w:bCs/>
                <w:color w:val="auto"/>
              </w:rPr>
            </w:pPr>
            <w:r>
              <w:rPr>
                <w:rFonts w:hint="eastAsia"/>
                <w:b/>
                <w:bCs/>
                <w:color w:val="auto"/>
              </w:rPr>
              <w:t>削减替代来源</w:t>
            </w:r>
          </w:p>
        </w:tc>
        <w:tc>
          <w:tcPr>
            <w:tcW w:w="984" w:type="pct"/>
            <w:vAlign w:val="center"/>
          </w:tcPr>
          <w:p>
            <w:pPr>
              <w:pStyle w:val="42"/>
              <w:rPr>
                <w:b/>
                <w:bCs/>
                <w:color w:val="auto"/>
              </w:rPr>
            </w:pPr>
            <w:r>
              <w:rPr>
                <w:rFonts w:hint="eastAsia"/>
                <w:b/>
                <w:bCs/>
                <w:color w:val="auto"/>
              </w:rPr>
              <w:t>建议</w:t>
            </w:r>
            <w:r>
              <w:rPr>
                <w:b/>
                <w:bCs/>
                <w:color w:val="auto"/>
              </w:rPr>
              <w:t>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pct"/>
            <w:vAlign w:val="center"/>
          </w:tcPr>
          <w:p>
            <w:pPr>
              <w:pStyle w:val="42"/>
              <w:rPr>
                <w:color w:val="auto"/>
              </w:rPr>
            </w:pPr>
            <w:r>
              <w:rPr>
                <w:color w:val="auto"/>
              </w:rPr>
              <w:t>COD</w:t>
            </w:r>
            <w:r>
              <w:rPr>
                <w:color w:val="auto"/>
                <w:vertAlign w:val="subscript"/>
              </w:rPr>
              <w:t>Cr</w:t>
            </w:r>
          </w:p>
        </w:tc>
        <w:tc>
          <w:tcPr>
            <w:tcW w:w="984" w:type="pct"/>
            <w:vAlign w:val="center"/>
          </w:tcPr>
          <w:p>
            <w:pPr>
              <w:pStyle w:val="42"/>
              <w:rPr>
                <w:color w:val="auto"/>
              </w:rPr>
            </w:pPr>
            <w:r>
              <w:rPr>
                <w:rFonts w:hint="eastAsia"/>
                <w:color w:val="auto"/>
              </w:rPr>
              <w:t>0.162</w:t>
            </w:r>
          </w:p>
        </w:tc>
        <w:tc>
          <w:tcPr>
            <w:tcW w:w="984" w:type="pct"/>
            <w:vAlign w:val="center"/>
          </w:tcPr>
          <w:p>
            <w:pPr>
              <w:pStyle w:val="42"/>
              <w:rPr>
                <w:color w:val="auto"/>
              </w:rPr>
            </w:pPr>
            <w:r>
              <w:rPr>
                <w:color w:val="auto"/>
              </w:rPr>
              <w:t>/</w:t>
            </w:r>
          </w:p>
        </w:tc>
        <w:tc>
          <w:tcPr>
            <w:tcW w:w="984" w:type="pct"/>
            <w:vAlign w:val="center"/>
          </w:tcPr>
          <w:p>
            <w:pPr>
              <w:pStyle w:val="42"/>
              <w:rPr>
                <w:color w:val="auto"/>
              </w:rPr>
            </w:pPr>
            <w:r>
              <w:rPr>
                <w:rFonts w:hint="eastAsia"/>
                <w:color w:val="auto"/>
              </w:rPr>
              <w:t>/</w:t>
            </w:r>
          </w:p>
        </w:tc>
        <w:tc>
          <w:tcPr>
            <w:tcW w:w="1717" w:type="dxa"/>
            <w:vAlign w:val="center"/>
          </w:tcPr>
          <w:p>
            <w:pPr>
              <w:pStyle w:val="42"/>
              <w:rPr>
                <w:color w:val="auto"/>
              </w:rPr>
            </w:pPr>
            <w:r>
              <w:rPr>
                <w:rFonts w:hint="eastAsia"/>
                <w:color w:val="auto"/>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pct"/>
            <w:vAlign w:val="center"/>
          </w:tcPr>
          <w:p>
            <w:pPr>
              <w:pStyle w:val="42"/>
              <w:rPr>
                <w:color w:val="auto"/>
              </w:rPr>
            </w:pPr>
            <w:r>
              <w:rPr>
                <w:color w:val="auto"/>
              </w:rPr>
              <w:t>NH</w:t>
            </w:r>
            <w:r>
              <w:rPr>
                <w:color w:val="auto"/>
                <w:vertAlign w:val="subscript"/>
              </w:rPr>
              <w:t>3</w:t>
            </w:r>
            <w:r>
              <w:rPr>
                <w:color w:val="auto"/>
              </w:rPr>
              <w:t>-N</w:t>
            </w:r>
          </w:p>
        </w:tc>
        <w:tc>
          <w:tcPr>
            <w:tcW w:w="984" w:type="pct"/>
            <w:vAlign w:val="center"/>
          </w:tcPr>
          <w:p>
            <w:pPr>
              <w:pStyle w:val="42"/>
              <w:rPr>
                <w:color w:val="auto"/>
              </w:rPr>
            </w:pPr>
            <w:r>
              <w:rPr>
                <w:rFonts w:hint="eastAsia"/>
                <w:color w:val="auto"/>
              </w:rPr>
              <w:t>0.016</w:t>
            </w:r>
          </w:p>
        </w:tc>
        <w:tc>
          <w:tcPr>
            <w:tcW w:w="984" w:type="pct"/>
            <w:vAlign w:val="center"/>
          </w:tcPr>
          <w:p>
            <w:pPr>
              <w:pStyle w:val="42"/>
              <w:rPr>
                <w:color w:val="auto"/>
              </w:rPr>
            </w:pPr>
            <w:r>
              <w:rPr>
                <w:color w:val="auto"/>
              </w:rPr>
              <w:t>/</w:t>
            </w:r>
          </w:p>
        </w:tc>
        <w:tc>
          <w:tcPr>
            <w:tcW w:w="984" w:type="pct"/>
            <w:vAlign w:val="center"/>
          </w:tcPr>
          <w:p>
            <w:pPr>
              <w:pStyle w:val="42"/>
              <w:rPr>
                <w:color w:val="auto"/>
              </w:rPr>
            </w:pPr>
            <w:r>
              <w:rPr>
                <w:rFonts w:hint="eastAsia"/>
                <w:color w:val="auto"/>
              </w:rPr>
              <w:t>/</w:t>
            </w:r>
          </w:p>
        </w:tc>
        <w:tc>
          <w:tcPr>
            <w:tcW w:w="1717" w:type="dxa"/>
            <w:vAlign w:val="center"/>
          </w:tcPr>
          <w:p>
            <w:pPr>
              <w:pStyle w:val="42"/>
              <w:rPr>
                <w:color w:val="auto"/>
              </w:rPr>
            </w:pPr>
            <w:r>
              <w:rPr>
                <w:rFonts w:hint="eastAsia"/>
                <w:color w:val="auto"/>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pct"/>
            <w:vAlign w:val="center"/>
          </w:tcPr>
          <w:p>
            <w:pPr>
              <w:pStyle w:val="42"/>
              <w:rPr>
                <w:color w:val="auto"/>
              </w:rPr>
            </w:pPr>
            <w:r>
              <w:rPr>
                <w:rFonts w:hint="eastAsia"/>
                <w:color w:val="auto"/>
              </w:rPr>
              <w:t>颗粒物</w:t>
            </w:r>
          </w:p>
        </w:tc>
        <w:tc>
          <w:tcPr>
            <w:tcW w:w="984" w:type="pct"/>
            <w:vAlign w:val="center"/>
          </w:tcPr>
          <w:p>
            <w:pPr>
              <w:pStyle w:val="42"/>
              <w:rPr>
                <w:color w:val="auto"/>
              </w:rPr>
            </w:pPr>
            <w:r>
              <w:rPr>
                <w:rFonts w:hint="eastAsia"/>
                <w:color w:val="auto"/>
              </w:rPr>
              <w:t>1.56</w:t>
            </w:r>
          </w:p>
        </w:tc>
        <w:tc>
          <w:tcPr>
            <w:tcW w:w="984" w:type="pct"/>
            <w:vAlign w:val="center"/>
          </w:tcPr>
          <w:p>
            <w:pPr>
              <w:pStyle w:val="42"/>
              <w:rPr>
                <w:color w:val="auto"/>
              </w:rPr>
            </w:pPr>
            <w:r>
              <w:rPr>
                <w:rFonts w:hint="eastAsia"/>
                <w:color w:val="auto"/>
              </w:rPr>
              <w:t>/</w:t>
            </w:r>
          </w:p>
        </w:tc>
        <w:tc>
          <w:tcPr>
            <w:tcW w:w="984" w:type="pct"/>
            <w:vAlign w:val="center"/>
          </w:tcPr>
          <w:p>
            <w:pPr>
              <w:pStyle w:val="42"/>
              <w:rPr>
                <w:color w:val="auto"/>
              </w:rPr>
            </w:pPr>
            <w:r>
              <w:rPr>
                <w:rFonts w:hint="eastAsia"/>
                <w:color w:val="auto"/>
              </w:rPr>
              <w:t>/</w:t>
            </w:r>
          </w:p>
        </w:tc>
        <w:tc>
          <w:tcPr>
            <w:tcW w:w="1717" w:type="dxa"/>
            <w:vAlign w:val="center"/>
          </w:tcPr>
          <w:p>
            <w:pPr>
              <w:pStyle w:val="42"/>
              <w:rPr>
                <w:color w:val="auto"/>
              </w:rPr>
            </w:pPr>
            <w:r>
              <w:rPr>
                <w:rFonts w:hint="eastAsia"/>
                <w:color w:val="auto"/>
              </w:rPr>
              <w:t>1.56</w:t>
            </w:r>
          </w:p>
        </w:tc>
      </w:tr>
    </w:tbl>
    <w:p>
      <w:pPr>
        <w:ind w:firstLine="480"/>
        <w:rPr>
          <w:color w:val="auto"/>
        </w:rPr>
      </w:pPr>
      <w:r>
        <w:rPr>
          <w:rFonts w:hint="eastAsia"/>
          <w:color w:val="auto"/>
        </w:rPr>
        <w:t>在此基础上，本项目符合总量控制要求。</w:t>
      </w:r>
    </w:p>
    <w:p>
      <w:pPr>
        <w:pStyle w:val="35"/>
        <w:spacing w:before="0" w:line="360" w:lineRule="auto"/>
        <w:ind w:firstLine="0" w:firstLineChars="0"/>
        <w:rPr>
          <w:rFonts w:eastAsia="宋体"/>
          <w:b/>
          <w:bCs/>
          <w:color w:val="auto"/>
        </w:rPr>
      </w:pPr>
      <w:r>
        <w:rPr>
          <w:rFonts w:eastAsia="宋体"/>
          <w:b/>
          <w:bCs/>
          <w:color w:val="auto"/>
        </w:rPr>
        <w:t>5.1.</w:t>
      </w:r>
      <w:r>
        <w:rPr>
          <w:rFonts w:hint="eastAsia" w:eastAsia="宋体"/>
          <w:b/>
          <w:bCs/>
          <w:color w:val="auto"/>
        </w:rPr>
        <w:t>6</w:t>
      </w:r>
      <w:r>
        <w:rPr>
          <w:rFonts w:eastAsia="宋体"/>
          <w:b/>
          <w:bCs/>
          <w:color w:val="auto"/>
        </w:rPr>
        <w:t>总结论</w:t>
      </w:r>
    </w:p>
    <w:p>
      <w:pPr>
        <w:ind w:firstLine="480"/>
        <w:rPr>
          <w:color w:val="auto"/>
        </w:rPr>
      </w:pPr>
      <w:bookmarkStart w:id="43" w:name="_Toc515273916"/>
      <w:r>
        <w:rPr>
          <w:rFonts w:hint="eastAsia"/>
          <w:color w:val="auto"/>
        </w:rPr>
        <w:t>桐乡市鸿尔纺织有限公司年产600吨高档粗纺羊绒纱项目选址合理，符合国家及地区产业政策，项目污染物在达标排放情况下对周围环境影响较小，区域环境质量能维持现状，只要厂方重视环保工作，认真落实评价提出的各项污染防治对策，加强对污染物的治理工作，加强对各类污染源的管理，落实环保治理所需要的资金，则该项目的实施，可以做到在较高的生产效益的同时，又能达到环境保护的目标。因此该项目从环保角度来说是可行的。</w:t>
      </w:r>
    </w:p>
    <w:p>
      <w:pPr>
        <w:pStyle w:val="5"/>
        <w:rPr>
          <w:rFonts w:cs="Times New Roman"/>
          <w:color w:val="auto"/>
          <w:szCs w:val="24"/>
        </w:rPr>
      </w:pPr>
      <w:bookmarkStart w:id="44" w:name="_Toc61959004"/>
      <w:r>
        <w:rPr>
          <w:rFonts w:cs="Times New Roman"/>
          <w:color w:val="auto"/>
          <w:szCs w:val="24"/>
        </w:rPr>
        <w:t>5.2审批部门审批决定</w:t>
      </w:r>
      <w:bookmarkEnd w:id="43"/>
      <w:bookmarkEnd w:id="44"/>
    </w:p>
    <w:p>
      <w:pPr>
        <w:ind w:firstLine="480"/>
        <w:rPr>
          <w:color w:val="auto"/>
        </w:rPr>
      </w:pPr>
      <w:r>
        <w:rPr>
          <w:rFonts w:hint="eastAsia"/>
          <w:color w:val="auto"/>
        </w:rPr>
        <w:t>2015年9月</w:t>
      </w:r>
      <w:r>
        <w:rPr>
          <w:color w:val="auto"/>
        </w:rPr>
        <w:t>2</w:t>
      </w:r>
      <w:r>
        <w:rPr>
          <w:rFonts w:hint="eastAsia"/>
          <w:color w:val="auto"/>
        </w:rPr>
        <w:t>1日，原桐乡市环境保护局出具了关于“桐乡市鸿尔纺织有限公司年产600吨高档粗纺羊绒纱项目”的</w:t>
      </w:r>
      <w:r>
        <w:rPr>
          <w:color w:val="auto"/>
        </w:rPr>
        <w:t>《关于</w:t>
      </w:r>
      <w:r>
        <w:rPr>
          <w:rFonts w:eastAsia="Times New Roman"/>
          <w:color w:val="auto"/>
        </w:rPr>
        <w:t>&lt;</w:t>
      </w:r>
      <w:r>
        <w:rPr>
          <w:rFonts w:hint="eastAsia"/>
          <w:color w:val="auto"/>
        </w:rPr>
        <w:t>桐乡市鸿尔纺织有限公司产600吨高档粗纺羊绒纱项目</w:t>
      </w:r>
      <w:r>
        <w:rPr>
          <w:color w:val="auto"/>
        </w:rPr>
        <w:t>环境影响报告</w:t>
      </w:r>
      <w:r>
        <w:rPr>
          <w:rFonts w:hint="eastAsia"/>
          <w:color w:val="auto"/>
        </w:rPr>
        <w:t>表</w:t>
      </w:r>
      <w:r>
        <w:rPr>
          <w:rFonts w:eastAsia="Times New Roman"/>
          <w:color w:val="auto"/>
        </w:rPr>
        <w:t>&gt;</w:t>
      </w:r>
      <w:r>
        <w:rPr>
          <w:color w:val="auto"/>
        </w:rPr>
        <w:t>的审查意见</w:t>
      </w:r>
      <w:r>
        <w:rPr>
          <w:rFonts w:hint="eastAsia"/>
          <w:color w:val="auto"/>
        </w:rPr>
        <w:t>》（桐</w:t>
      </w:r>
      <w:r>
        <w:rPr>
          <w:color w:val="auto"/>
        </w:rPr>
        <w:t>环建</w:t>
      </w:r>
      <w:r>
        <w:rPr>
          <w:rFonts w:eastAsia="Times New Roman"/>
          <w:color w:val="auto"/>
        </w:rPr>
        <w:t>[20</w:t>
      </w:r>
      <w:r>
        <w:rPr>
          <w:rFonts w:hint="eastAsia" w:eastAsia="宋体"/>
          <w:color w:val="auto"/>
        </w:rPr>
        <w:t>15</w:t>
      </w:r>
      <w:r>
        <w:rPr>
          <w:rFonts w:eastAsia="Times New Roman"/>
          <w:color w:val="auto"/>
        </w:rPr>
        <w:t>]</w:t>
      </w:r>
      <w:r>
        <w:rPr>
          <w:rFonts w:hint="eastAsia" w:eastAsia="宋体"/>
          <w:color w:val="auto"/>
        </w:rPr>
        <w:t>252</w:t>
      </w:r>
      <w:r>
        <w:rPr>
          <w:color w:val="auto"/>
        </w:rPr>
        <w:t>号）</w:t>
      </w:r>
      <w:r>
        <w:rPr>
          <w:rFonts w:hint="eastAsia"/>
          <w:color w:val="auto"/>
        </w:rPr>
        <w:t>，具体内容如下：</w:t>
      </w:r>
    </w:p>
    <w:p>
      <w:pPr>
        <w:ind w:firstLine="480"/>
        <w:rPr>
          <w:rFonts w:ascii="宋体" w:hAnsi="宋体" w:eastAsia="宋体" w:cs="宋体"/>
          <w:color w:val="auto"/>
        </w:rPr>
      </w:pPr>
      <w:r>
        <w:rPr>
          <w:rFonts w:hint="eastAsia" w:ascii="宋体" w:hAnsi="宋体" w:eastAsia="宋体" w:cs="宋体"/>
          <w:color w:val="auto"/>
        </w:rPr>
        <w:t>你公司委托浙江环科环境咨询有限公司编制的《桐乡市鸿尔纺织有限公司年产600吨高档粗纺羊绒纱项目环境影响报告表》(以下简称《环境影响报告表》）收悉。根据《中华人民共和国环境影响评价法》</w:t>
      </w:r>
      <w:r>
        <w:rPr>
          <w:rFonts w:eastAsia="宋体" w:cs="Times New Roman"/>
          <w:color w:val="auto"/>
        </w:rPr>
        <w:t>、</w:t>
      </w:r>
      <w:r>
        <w:rPr>
          <w:rFonts w:hint="eastAsia" w:ascii="宋体" w:hAnsi="宋体" w:eastAsia="宋体" w:cs="宋体"/>
          <w:color w:val="auto"/>
        </w:rPr>
        <w:t>《建设项目环境保护管理条例》，经研究，我局审查意见如下：</w:t>
      </w:r>
    </w:p>
    <w:p>
      <w:pPr>
        <w:ind w:firstLine="480"/>
        <w:rPr>
          <w:color w:val="auto"/>
        </w:rPr>
      </w:pPr>
      <w:r>
        <w:rPr>
          <w:rFonts w:hint="eastAsia"/>
          <w:color w:val="auto"/>
        </w:rPr>
        <w:t>一、根据《环境影响报告表》结论，原则同意你公司在桐乡市梧桐街道环城北路198号实施新建项目。项目总投资5580万元，其中环保投资37万元，建设内容为利用厂区内空置工业用地，新建建筑面积11644.56平方米，同时利用厂区内现有已建厂房11955.56平方米，购置生产设备，年产高档粗纺羊绒纱600吨。项目建设要严格按照《环境影响报告表》所列的规模、采用的生产工艺、环保对策措施及下述要求进行，不得擅自变更建设内容。项目建设地点、产品结构、生产工艺和生产设备若发生重大变更，必须重新依法报批。</w:t>
      </w:r>
    </w:p>
    <w:p>
      <w:pPr>
        <w:ind w:firstLine="480"/>
        <w:rPr>
          <w:color w:val="auto"/>
        </w:rPr>
      </w:pPr>
      <w:r>
        <w:rPr>
          <w:rFonts w:hint="eastAsia"/>
          <w:color w:val="auto"/>
        </w:rPr>
        <w:t>二、项目必须采用先进、可靠的技术和装备，全面实施清洁生产，降低单耗。提高物料利用率，从源头减少污染物的产生，在工程设计、建设和运行过程中认真落实环评提出的各项污染防治措施，重点做好以下工作：</w:t>
      </w:r>
    </w:p>
    <w:p>
      <w:pPr>
        <w:ind w:firstLine="480"/>
        <w:rPr>
          <w:color w:val="auto"/>
        </w:rPr>
      </w:pPr>
      <w:r>
        <w:rPr>
          <w:rFonts w:hint="eastAsia"/>
          <w:color w:val="auto"/>
        </w:rPr>
        <w:t>（一）废水防治方面</w:t>
      </w:r>
    </w:p>
    <w:p>
      <w:pPr>
        <w:ind w:firstLine="480"/>
        <w:rPr>
          <w:color w:val="auto"/>
        </w:rPr>
      </w:pPr>
      <w:r>
        <w:rPr>
          <w:rFonts w:hint="eastAsia"/>
          <w:color w:val="auto"/>
        </w:rPr>
        <w:t>项目必须实施清污分流、雨污分流。本项目施工期设置临时沉淀池，施工废水经沉淀后循环使用。施工期和营运期产生的生活污水经预处理后纳入市政污水管网，最终由桐乡市城市污水处理有限责任公司集中处理后达标排放，污染物入网标准执行GB8978一1996《污水综合排放标准》三级标准（氨氮执行DB33/887-2013《工业企业废水氮、磷污染物问接排放限值》）。在当地不得另设排污口。</w:t>
      </w:r>
    </w:p>
    <w:p>
      <w:pPr>
        <w:ind w:firstLine="480"/>
        <w:rPr>
          <w:color w:val="auto"/>
        </w:rPr>
      </w:pPr>
      <w:r>
        <w:rPr>
          <w:rFonts w:hint="eastAsia"/>
          <w:color w:val="auto"/>
        </w:rPr>
        <w:t>（二）废气防治方面</w:t>
      </w:r>
    </w:p>
    <w:p>
      <w:pPr>
        <w:ind w:firstLine="480"/>
        <w:rPr>
          <w:color w:val="auto"/>
        </w:rPr>
      </w:pPr>
      <w:r>
        <w:rPr>
          <w:rFonts w:hint="eastAsia"/>
          <w:color w:val="auto"/>
        </w:rPr>
        <w:t>加强大气污染防治，本项目施工期及营运期废气防治措施应按环评中的要求执行，颗粒物排放执行GB16297-1996《大气污染物综合排放标准》中新污染源大气污染物排放限值二级标准，加强食堂油烟的收集处理，排放标准执行GB18483-2001《饮食业油烟排放标准（试行）》中的相关标准。</w:t>
      </w:r>
    </w:p>
    <w:p>
      <w:pPr>
        <w:ind w:firstLine="480"/>
        <w:rPr>
          <w:color w:val="auto"/>
        </w:rPr>
      </w:pPr>
      <w:r>
        <w:rPr>
          <w:rFonts w:hint="eastAsia"/>
          <w:color w:val="auto"/>
        </w:rPr>
        <w:t>（三）噪声防治方面</w:t>
      </w:r>
    </w:p>
    <w:p>
      <w:pPr>
        <w:ind w:firstLine="480"/>
        <w:rPr>
          <w:color w:val="auto"/>
        </w:rPr>
      </w:pPr>
      <w:r>
        <w:rPr>
          <w:rFonts w:hint="eastAsia"/>
          <w:color w:val="auto"/>
        </w:rPr>
        <w:t>项目施工期场界噪声执行GB12523-2011《建筑施工场界环境噪声排放标准》中的标准。营运期尽量选用低噪声机械设备，并采取有效的隔声、防震措施，企业厂界噪声排放执行CB12348-2008《工业企业厂界环境噪声排放标准》中的了类标准。</w:t>
      </w:r>
    </w:p>
    <w:p>
      <w:pPr>
        <w:ind w:firstLine="480"/>
        <w:rPr>
          <w:color w:val="auto"/>
        </w:rPr>
      </w:pPr>
      <w:r>
        <w:rPr>
          <w:rFonts w:hint="eastAsia"/>
          <w:color w:val="auto"/>
        </w:rPr>
        <w:t>（四）固废防治方面</w:t>
      </w:r>
    </w:p>
    <w:p>
      <w:pPr>
        <w:ind w:firstLine="480"/>
        <w:rPr>
          <w:color w:val="auto"/>
        </w:rPr>
      </w:pPr>
      <w:r>
        <w:rPr>
          <w:rFonts w:hint="eastAsia"/>
          <w:color w:val="auto"/>
        </w:rPr>
        <w:t>项目产生的固体废弃物应按照“资源化、减量化、无害化”原则，提高资源综合利用率。废丝和废包装料外卖综合利用；生活垃圾收集后委托当地环卫部门统一收集清运处理。</w:t>
      </w:r>
    </w:p>
    <w:p>
      <w:pPr>
        <w:ind w:firstLine="480"/>
        <w:rPr>
          <w:color w:val="auto"/>
        </w:rPr>
      </w:pPr>
      <w:r>
        <w:rPr>
          <w:rFonts w:hint="eastAsia"/>
          <w:color w:val="auto"/>
        </w:rPr>
        <w:t>三、请梧桐街道环境保护所做好建设项目施工期间的环境保护和配套建设的污染防治措施落实情况的监督检查工作。</w:t>
      </w:r>
    </w:p>
    <w:p>
      <w:pPr>
        <w:ind w:firstLine="480"/>
        <w:rPr>
          <w:color w:val="auto"/>
        </w:rPr>
      </w:pPr>
      <w:r>
        <w:rPr>
          <w:rFonts w:hint="eastAsia"/>
          <w:color w:val="auto"/>
        </w:rPr>
        <w:t>四、建设单位须落实环评报告表中提出的各项污染防洽措施，严格执行环境保护“三同时”制度，并按规定程序申请建设顼目环境保护设施竣工验收，经验收合格后建设项目方可正式投入运行。</w:t>
      </w:r>
    </w:p>
    <w:p>
      <w:pPr>
        <w:pStyle w:val="2"/>
        <w:ind w:left="480" w:firstLine="480"/>
        <w:rPr>
          <w:color w:val="auto"/>
        </w:rPr>
      </w:pPr>
    </w:p>
    <w:p>
      <w:pPr>
        <w:ind w:firstLine="480"/>
        <w:rPr>
          <w:color w:val="auto"/>
        </w:rPr>
      </w:pPr>
    </w:p>
    <w:p>
      <w:pPr>
        <w:ind w:firstLine="480"/>
        <w:rPr>
          <w:color w:val="auto"/>
        </w:rPr>
      </w:pPr>
    </w:p>
    <w:p>
      <w:pPr>
        <w:pStyle w:val="4"/>
        <w:rPr>
          <w:color w:val="auto"/>
        </w:rPr>
        <w:sectPr>
          <w:pgSz w:w="11906" w:h="16838"/>
          <w:pgMar w:top="1418" w:right="1701" w:bottom="1418" w:left="1701" w:header="851" w:footer="992" w:gutter="0"/>
          <w:pgNumType w:fmt="numberInDash"/>
          <w:cols w:space="425" w:num="1"/>
          <w:docGrid w:type="lines" w:linePitch="312" w:charSpace="0"/>
        </w:sectPr>
      </w:pPr>
      <w:bookmarkStart w:id="45" w:name="_Toc515273917"/>
      <w:bookmarkStart w:id="46" w:name="_Toc61959005"/>
    </w:p>
    <w:p>
      <w:pPr>
        <w:pStyle w:val="4"/>
        <w:rPr>
          <w:color w:val="auto"/>
        </w:rPr>
      </w:pPr>
      <w:r>
        <w:rPr>
          <w:rFonts w:hint="eastAsia"/>
          <w:color w:val="auto"/>
        </w:rPr>
        <w:t>6</w:t>
      </w:r>
      <w:r>
        <w:rPr>
          <w:color w:val="auto"/>
        </w:rPr>
        <w:t>验收执行标准</w:t>
      </w:r>
      <w:bookmarkEnd w:id="45"/>
      <w:bookmarkEnd w:id="46"/>
    </w:p>
    <w:p>
      <w:pPr>
        <w:pStyle w:val="5"/>
        <w:rPr>
          <w:color w:val="auto"/>
        </w:rPr>
      </w:pPr>
      <w:bookmarkStart w:id="47" w:name="_Toc61959006"/>
      <w:bookmarkStart w:id="48" w:name="_Toc20303"/>
      <w:bookmarkStart w:id="49" w:name="_Toc9526"/>
      <w:bookmarkStart w:id="50" w:name="_Toc20673"/>
      <w:r>
        <w:rPr>
          <w:rFonts w:hint="eastAsia"/>
          <w:color w:val="auto"/>
        </w:rPr>
        <w:t>6.1</w:t>
      </w:r>
      <w:r>
        <w:rPr>
          <w:color w:val="auto"/>
        </w:rPr>
        <w:t>废水</w:t>
      </w:r>
      <w:bookmarkEnd w:id="47"/>
      <w:bookmarkEnd w:id="48"/>
      <w:bookmarkEnd w:id="49"/>
      <w:bookmarkEnd w:id="50"/>
    </w:p>
    <w:p>
      <w:pPr>
        <w:ind w:firstLine="480"/>
        <w:rPr>
          <w:rFonts w:cs="Times New Roman"/>
          <w:color w:val="auto"/>
        </w:rPr>
      </w:pPr>
      <w:r>
        <w:rPr>
          <w:rFonts w:cs="Times New Roman"/>
          <w:color w:val="auto"/>
        </w:rPr>
        <w:t>本项目</w:t>
      </w:r>
      <w:r>
        <w:rPr>
          <w:rFonts w:hint="eastAsia" w:cs="Times New Roman"/>
          <w:color w:val="auto"/>
        </w:rPr>
        <w:t>不产生生产废水，产生的</w:t>
      </w:r>
      <w:r>
        <w:rPr>
          <w:rFonts w:cs="Times New Roman"/>
          <w:color w:val="auto"/>
        </w:rPr>
        <w:t>废水</w:t>
      </w:r>
      <w:r>
        <w:rPr>
          <w:rFonts w:hint="eastAsia" w:cs="Times New Roman"/>
          <w:color w:val="auto"/>
        </w:rPr>
        <w:t>仅为员工生活污水，经化粪池、隔油池预处理达到</w:t>
      </w:r>
      <w:r>
        <w:rPr>
          <w:rFonts w:cs="Times New Roman"/>
          <w:color w:val="auto"/>
        </w:rPr>
        <w:t>《污水综合排放标准》（GB8978-1996）表4中的三级标准</w:t>
      </w:r>
      <w:r>
        <w:rPr>
          <w:rFonts w:hint="eastAsia" w:cs="Times New Roman"/>
          <w:color w:val="auto"/>
        </w:rPr>
        <w:t>及《工业企业废水氮、磷污染物间接排放限值》（DB</w:t>
      </w:r>
      <w:r>
        <w:rPr>
          <w:rFonts w:cs="Times New Roman"/>
          <w:color w:val="auto"/>
        </w:rPr>
        <w:t>33/887-2013</w:t>
      </w:r>
      <w:r>
        <w:rPr>
          <w:rFonts w:hint="eastAsia" w:cs="Times New Roman"/>
          <w:color w:val="auto"/>
        </w:rPr>
        <w:t>）表1中工业企业水污染物间接排放限值相关规定后</w:t>
      </w:r>
      <w:r>
        <w:rPr>
          <w:color w:val="auto"/>
        </w:rPr>
        <w:t>纳入市政污水管网</w:t>
      </w:r>
      <w:r>
        <w:rPr>
          <w:rFonts w:hint="eastAsia" w:cs="Times New Roman"/>
          <w:color w:val="auto"/>
        </w:rPr>
        <w:t>，</w:t>
      </w:r>
      <w:r>
        <w:rPr>
          <w:rFonts w:hint="eastAsia"/>
          <w:color w:val="auto"/>
        </w:rPr>
        <w:t>最终由桐乡市城市污水处理有限责任公司集中处理达</w:t>
      </w:r>
      <w:r>
        <w:rPr>
          <w:rFonts w:cs="Times New Roman"/>
          <w:color w:val="auto"/>
        </w:rPr>
        <w:t>GB18918-2002《城镇污水处理厂污染物排放标准》表1中一级</w:t>
      </w:r>
      <w:r>
        <w:rPr>
          <w:rFonts w:hint="eastAsia" w:cs="Times New Roman"/>
          <w:color w:val="auto"/>
        </w:rPr>
        <w:t>A</w:t>
      </w:r>
      <w:r>
        <w:rPr>
          <w:rFonts w:cs="Times New Roman"/>
          <w:color w:val="auto"/>
        </w:rPr>
        <w:t>标准</w:t>
      </w:r>
      <w:r>
        <w:rPr>
          <w:rFonts w:hint="eastAsia"/>
          <w:color w:val="auto"/>
        </w:rPr>
        <w:t>后排放钱塘江。</w:t>
      </w:r>
      <w:r>
        <w:rPr>
          <w:rFonts w:cs="Times New Roman"/>
          <w:color w:val="auto"/>
        </w:rPr>
        <w:t>具体指标见表6-1。</w:t>
      </w:r>
    </w:p>
    <w:p>
      <w:pPr>
        <w:pStyle w:val="30"/>
        <w:spacing w:before="62" w:after="31"/>
        <w:rPr>
          <w:color w:val="auto"/>
        </w:rPr>
      </w:pPr>
      <w:r>
        <w:rPr>
          <w:color w:val="auto"/>
        </w:rPr>
        <w:t>表6-1水污染物</w:t>
      </w:r>
      <w:r>
        <w:rPr>
          <w:rFonts w:hint="eastAsia"/>
          <w:color w:val="auto"/>
        </w:rPr>
        <w:t>排放</w:t>
      </w:r>
      <w:r>
        <w:rPr>
          <w:color w:val="auto"/>
        </w:rPr>
        <w:t>标准（单位：mg/L，pH除外）</w:t>
      </w:r>
    </w:p>
    <w:tbl>
      <w:tblPr>
        <w:tblStyle w:val="21"/>
        <w:tblW w:w="8514" w:type="dxa"/>
        <w:jc w:val="center"/>
        <w:tblLayout w:type="autofit"/>
        <w:tblCellMar>
          <w:top w:w="0" w:type="dxa"/>
          <w:left w:w="0" w:type="dxa"/>
          <w:bottom w:w="0" w:type="dxa"/>
          <w:right w:w="0" w:type="dxa"/>
        </w:tblCellMar>
      </w:tblPr>
      <w:tblGrid>
        <w:gridCol w:w="1333"/>
        <w:gridCol w:w="679"/>
        <w:gridCol w:w="1293"/>
        <w:gridCol w:w="956"/>
        <w:gridCol w:w="1825"/>
        <w:gridCol w:w="1088"/>
        <w:gridCol w:w="1340"/>
      </w:tblGrid>
      <w:tr>
        <w:tblPrEx>
          <w:tblCellMar>
            <w:top w:w="0" w:type="dxa"/>
            <w:left w:w="0" w:type="dxa"/>
            <w:bottom w:w="0" w:type="dxa"/>
            <w:right w:w="0"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b/>
                <w:bCs/>
                <w:color w:val="auto"/>
              </w:rPr>
              <w:t>标准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b/>
                <w:bCs/>
                <w:color w:val="auto"/>
              </w:rPr>
              <w:t>pH</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b/>
                <w:bCs/>
                <w:color w:val="auto"/>
              </w:rPr>
              <w:t>COD</w:t>
            </w:r>
            <w:r>
              <w:rPr>
                <w:b/>
                <w:bCs/>
                <w:color w:val="auto"/>
                <w:vertAlign w:val="subscript"/>
              </w:rPr>
              <w:t>Cr</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b/>
                <w:bCs/>
                <w:color w:val="auto"/>
              </w:rPr>
              <w:t>SS</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b/>
                <w:bCs/>
                <w:color w:val="auto"/>
              </w:rPr>
              <w:t>NH</w:t>
            </w:r>
            <w:r>
              <w:rPr>
                <w:b/>
                <w:bCs/>
                <w:color w:val="auto"/>
                <w:vertAlign w:val="subscript"/>
              </w:rPr>
              <w:t>3</w:t>
            </w:r>
            <w:r>
              <w:rPr>
                <w:b/>
                <w:bCs/>
                <w:color w:val="auto"/>
              </w:rPr>
              <w:t>-N</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rFonts w:hint="eastAsia"/>
                <w:b/>
                <w:bCs/>
                <w:color w:val="auto"/>
              </w:rPr>
              <w:t>BOD</w:t>
            </w:r>
            <w:r>
              <w:rPr>
                <w:rFonts w:hint="eastAsia"/>
                <w:b/>
                <w:bCs/>
                <w:color w:val="auto"/>
                <w:vertAlign w:val="subscript"/>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b/>
                <w:bCs/>
                <w:color w:val="auto"/>
              </w:rPr>
            </w:pPr>
            <w:r>
              <w:rPr>
                <w:rFonts w:hint="eastAsia"/>
                <w:b/>
                <w:bCs/>
                <w:color w:val="auto"/>
              </w:rPr>
              <w:t>动植物油</w:t>
            </w:r>
          </w:p>
        </w:tc>
      </w:tr>
      <w:tr>
        <w:tblPrEx>
          <w:tblCellMar>
            <w:top w:w="0" w:type="dxa"/>
            <w:left w:w="0" w:type="dxa"/>
            <w:bottom w:w="0" w:type="dxa"/>
            <w:right w:w="0"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color w:val="auto"/>
              </w:rPr>
              <w:t>入网标准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color w:val="auto"/>
              </w:rPr>
              <w:t>6~9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w:t>
            </w:r>
            <w:r>
              <w:rPr>
                <w:color w:val="auto"/>
              </w:rPr>
              <w:t>500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w:t>
            </w:r>
            <w:r>
              <w:rPr>
                <w:color w:val="auto"/>
              </w:rPr>
              <w:t>400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w:t>
            </w:r>
            <w:r>
              <w:rPr>
                <w:color w:val="auto"/>
              </w:rPr>
              <w:t>35*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≤300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15</w:t>
            </w:r>
          </w:p>
        </w:tc>
      </w:tr>
      <w:tr>
        <w:tblPrEx>
          <w:tblCellMar>
            <w:top w:w="0" w:type="dxa"/>
            <w:left w:w="0" w:type="dxa"/>
            <w:bottom w:w="0" w:type="dxa"/>
            <w:right w:w="0"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color w:val="auto"/>
              </w:rPr>
              <w:t>排放标准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color w:val="auto"/>
              </w:rPr>
              <w:t>6~9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≤50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≤10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≤5（8）**</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≤10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32"/>
              <w:rPr>
                <w:color w:val="auto"/>
              </w:rPr>
            </w:pPr>
            <w:r>
              <w:rPr>
                <w:rFonts w:hint="eastAsia"/>
                <w:color w:val="auto"/>
              </w:rPr>
              <w:t>1</w:t>
            </w:r>
          </w:p>
        </w:tc>
      </w:tr>
      <w:tr>
        <w:tblPrEx>
          <w:tblCellMar>
            <w:top w:w="0" w:type="dxa"/>
            <w:left w:w="0" w:type="dxa"/>
            <w:bottom w:w="0" w:type="dxa"/>
            <w:right w:w="0" w:type="dxa"/>
          </w:tblCellMar>
        </w:tblPrEx>
        <w:trPr>
          <w:trHeight w:val="340" w:hRule="atLeast"/>
          <w:jc w:val="center"/>
        </w:trPr>
        <w:tc>
          <w:tcPr>
            <w:tcW w:w="0" w:type="auto"/>
            <w:gridSpan w:val="7"/>
            <w:tcBorders>
              <w:top w:val="single" w:color="000000" w:sz="4" w:space="0"/>
              <w:left w:val="single" w:color="000000" w:sz="4" w:space="0"/>
              <w:bottom w:val="single" w:color="000000" w:sz="4" w:space="0"/>
              <w:right w:val="single" w:color="000000" w:sz="4" w:space="0"/>
            </w:tcBorders>
            <w:vAlign w:val="center"/>
          </w:tcPr>
          <w:p>
            <w:pPr>
              <w:pStyle w:val="40"/>
              <w:jc w:val="both"/>
              <w:rPr>
                <w:color w:val="auto"/>
              </w:rPr>
            </w:pPr>
            <w:r>
              <w:rPr>
                <w:rFonts w:hint="eastAsia"/>
                <w:color w:val="auto"/>
              </w:rPr>
              <w:t>注：*氨氮入网值执行DB33/887-2013《工业企业废水氮、磷污染物间接排放限值》（浙江省人民政府2013年3月19日发布，2013年4月19日实施）表1中的相关工业企业水污染物间接排放限值。</w:t>
            </w:r>
          </w:p>
          <w:p>
            <w:pPr>
              <w:pStyle w:val="40"/>
              <w:rPr>
                <w:color w:val="auto"/>
              </w:rPr>
            </w:pPr>
            <w:r>
              <w:rPr>
                <w:rFonts w:hint="eastAsia"/>
                <w:color w:val="auto"/>
              </w:rPr>
              <w:t>**括号外数值为水温&gt;12℃时的控制指标，括号内数值为水温≤12℃时的控制指标。</w:t>
            </w:r>
          </w:p>
        </w:tc>
      </w:tr>
    </w:tbl>
    <w:p>
      <w:pPr>
        <w:pStyle w:val="5"/>
        <w:rPr>
          <w:color w:val="auto"/>
        </w:rPr>
      </w:pPr>
      <w:bookmarkStart w:id="51" w:name="_Toc24624"/>
      <w:bookmarkStart w:id="52" w:name="_Toc61959007"/>
      <w:r>
        <w:rPr>
          <w:color w:val="auto"/>
        </w:rPr>
        <w:t>6.</w:t>
      </w:r>
      <w:r>
        <w:rPr>
          <w:rFonts w:hint="eastAsia"/>
          <w:color w:val="auto"/>
        </w:rPr>
        <w:t>2</w:t>
      </w:r>
      <w:r>
        <w:rPr>
          <w:color w:val="auto"/>
        </w:rPr>
        <w:t>废气</w:t>
      </w:r>
      <w:bookmarkEnd w:id="51"/>
      <w:bookmarkEnd w:id="52"/>
    </w:p>
    <w:p>
      <w:pPr>
        <w:ind w:firstLine="480"/>
        <w:rPr>
          <w:color w:val="auto"/>
        </w:rPr>
      </w:pPr>
      <w:r>
        <w:rPr>
          <w:rFonts w:hint="eastAsia"/>
          <w:color w:val="auto"/>
        </w:rPr>
        <w:t>本项目生产过程中产生颗粒物排放标准执行《大气污染物综合排放标准》（GB16297-1996）中表2规定的</w:t>
      </w:r>
      <w:bookmarkStart w:id="53" w:name="_Hlk81568447"/>
      <w:r>
        <w:rPr>
          <w:rFonts w:hint="eastAsia"/>
          <w:color w:val="auto"/>
        </w:rPr>
        <w:t>排放限值</w:t>
      </w:r>
      <w:bookmarkEnd w:id="53"/>
      <w:r>
        <w:rPr>
          <w:rFonts w:hint="eastAsia"/>
          <w:color w:val="auto"/>
        </w:rPr>
        <w:t>，具体见表</w:t>
      </w:r>
      <w:r>
        <w:rPr>
          <w:color w:val="auto"/>
        </w:rPr>
        <w:t>6-2</w:t>
      </w:r>
      <w:r>
        <w:rPr>
          <w:rFonts w:hint="eastAsia"/>
          <w:color w:val="auto"/>
        </w:rPr>
        <w:t>。</w:t>
      </w:r>
    </w:p>
    <w:p>
      <w:pPr>
        <w:pStyle w:val="29"/>
        <w:spacing w:before="62" w:after="31"/>
        <w:rPr>
          <w:color w:val="auto"/>
        </w:rPr>
      </w:pPr>
      <w:r>
        <w:rPr>
          <w:rFonts w:hint="eastAsia"/>
          <w:color w:val="auto"/>
        </w:rPr>
        <w:t>表</w:t>
      </w:r>
      <w:r>
        <w:rPr>
          <w:color w:val="auto"/>
        </w:rPr>
        <w:t>6-2</w:t>
      </w:r>
      <w:r>
        <w:rPr>
          <w:rFonts w:hint="eastAsia"/>
          <w:color w:val="auto"/>
        </w:rPr>
        <w:t>《大气污染物综合排放标准》（GB</w:t>
      </w:r>
      <w:r>
        <w:rPr>
          <w:color w:val="auto"/>
        </w:rPr>
        <w:t>16297-1996</w:t>
      </w:r>
      <w:r>
        <w:rPr>
          <w:rFonts w:hint="eastAsia"/>
          <w:color w:val="auto"/>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311"/>
        <w:gridCol w:w="1454"/>
        <w:gridCol w:w="1165"/>
        <w:gridCol w:w="203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1" w:type="pct"/>
            <w:vMerge w:val="restar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污染物项目</w:t>
            </w:r>
          </w:p>
        </w:tc>
        <w:tc>
          <w:tcPr>
            <w:tcW w:w="752" w:type="pct"/>
            <w:vMerge w:val="restar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最高允许排放浓度（</w:t>
            </w:r>
            <w:r>
              <w:rPr>
                <w:b/>
                <w:bCs/>
                <w:color w:val="auto"/>
              </w:rPr>
              <w:t>mg/m³</w:t>
            </w:r>
            <w:r>
              <w:rPr>
                <w:rFonts w:hint="eastAsia"/>
                <w:b/>
                <w:bCs/>
                <w:color w:val="auto"/>
              </w:rPr>
              <w:t>）</w:t>
            </w:r>
          </w:p>
        </w:tc>
        <w:tc>
          <w:tcPr>
            <w:tcW w:w="1502" w:type="pct"/>
            <w:gridSpan w:val="2"/>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最高允许排放速率</w:t>
            </w:r>
          </w:p>
        </w:tc>
        <w:tc>
          <w:tcPr>
            <w:tcW w:w="1915" w:type="pct"/>
            <w:gridSpan w:val="2"/>
            <w:tcBorders>
              <w:top w:val="single" w:color="auto" w:sz="4" w:space="0"/>
              <w:left w:val="single" w:color="auto" w:sz="4" w:space="0"/>
              <w:right w:val="single" w:color="auto" w:sz="4" w:space="0"/>
            </w:tcBorders>
            <w:vAlign w:val="center"/>
          </w:tcPr>
          <w:p>
            <w:pPr>
              <w:pStyle w:val="42"/>
              <w:rPr>
                <w:b/>
                <w:bCs/>
                <w:color w:val="auto"/>
              </w:rPr>
            </w:pPr>
            <w:r>
              <w:rPr>
                <w:rFonts w:hint="eastAsia"/>
                <w:b/>
                <w:bCs/>
                <w:color w:val="auto"/>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op w:val="single" w:color="auto" w:sz="4" w:space="0"/>
              <w:left w:val="single" w:color="auto" w:sz="4" w:space="0"/>
              <w:bottom w:val="single" w:color="auto" w:sz="4" w:space="0"/>
              <w:right w:val="single" w:color="auto" w:sz="4" w:space="0"/>
            </w:tcBorders>
            <w:vAlign w:val="center"/>
          </w:tcPr>
          <w:p>
            <w:pPr>
              <w:pStyle w:val="42"/>
              <w:rPr>
                <w:b/>
                <w:bCs/>
                <w:color w:val="auto"/>
              </w:rPr>
            </w:pPr>
          </w:p>
        </w:tc>
        <w:tc>
          <w:tcPr>
            <w:tcW w:w="752" w:type="pct"/>
            <w:vMerge w:val="continue"/>
            <w:tcBorders>
              <w:top w:val="single" w:color="auto" w:sz="4" w:space="0"/>
              <w:left w:val="single" w:color="auto" w:sz="4" w:space="0"/>
              <w:bottom w:val="single" w:color="auto" w:sz="4" w:space="0"/>
              <w:right w:val="single" w:color="auto" w:sz="4" w:space="0"/>
            </w:tcBorders>
            <w:vAlign w:val="center"/>
          </w:tcPr>
          <w:p>
            <w:pPr>
              <w:pStyle w:val="42"/>
              <w:rPr>
                <w:b/>
                <w:bCs/>
                <w:color w:val="auto"/>
              </w:rPr>
            </w:pPr>
          </w:p>
        </w:tc>
        <w:tc>
          <w:tcPr>
            <w:tcW w:w="834"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排气筒（m）</w:t>
            </w:r>
          </w:p>
        </w:tc>
        <w:tc>
          <w:tcPr>
            <w:tcW w:w="668" w:type="pct"/>
            <w:tcBorders>
              <w:top w:val="single" w:color="auto" w:sz="4" w:space="0"/>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限值（</w:t>
            </w:r>
            <w:r>
              <w:rPr>
                <w:b/>
                <w:bCs/>
                <w:color w:val="auto"/>
              </w:rPr>
              <w:t>kg/h</w:t>
            </w:r>
            <w:r>
              <w:rPr>
                <w:rFonts w:hint="eastAsia"/>
                <w:b/>
                <w:bCs/>
                <w:color w:val="auto"/>
              </w:rPr>
              <w:t>）</w:t>
            </w:r>
          </w:p>
        </w:tc>
        <w:tc>
          <w:tcPr>
            <w:tcW w:w="1167" w:type="pct"/>
            <w:tcBorders>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监控点</w:t>
            </w:r>
          </w:p>
        </w:tc>
        <w:tc>
          <w:tcPr>
            <w:tcW w:w="749" w:type="pct"/>
            <w:tcBorders>
              <w:left w:val="single" w:color="auto" w:sz="4" w:space="0"/>
              <w:bottom w:val="single" w:color="auto" w:sz="4" w:space="0"/>
              <w:right w:val="single" w:color="auto" w:sz="4" w:space="0"/>
            </w:tcBorders>
            <w:vAlign w:val="center"/>
          </w:tcPr>
          <w:p>
            <w:pPr>
              <w:pStyle w:val="42"/>
              <w:rPr>
                <w:b/>
                <w:bCs/>
                <w:color w:val="auto"/>
              </w:rPr>
            </w:pPr>
            <w:r>
              <w:rPr>
                <w:rFonts w:hint="eastAsia"/>
                <w:b/>
                <w:bCs/>
                <w:color w:val="auto"/>
              </w:rPr>
              <w:t>浓度（</w:t>
            </w:r>
            <w:r>
              <w:rPr>
                <w:b/>
                <w:bCs/>
                <w:color w:val="auto"/>
              </w:rPr>
              <w:t>mg/m³</w:t>
            </w:r>
            <w:r>
              <w:rPr>
                <w:rFonts w:hint="eastAsia"/>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颗粒物</w:t>
            </w:r>
          </w:p>
        </w:tc>
        <w:tc>
          <w:tcPr>
            <w:tcW w:w="752"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color w:val="auto"/>
              </w:rPr>
              <w:t>120</w:t>
            </w:r>
          </w:p>
        </w:tc>
        <w:tc>
          <w:tcPr>
            <w:tcW w:w="834"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15</w:t>
            </w:r>
          </w:p>
        </w:tc>
        <w:tc>
          <w:tcPr>
            <w:tcW w:w="668"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3.5</w:t>
            </w:r>
          </w:p>
        </w:tc>
        <w:tc>
          <w:tcPr>
            <w:tcW w:w="1167"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周界外浓度最高点</w:t>
            </w:r>
          </w:p>
        </w:tc>
        <w:tc>
          <w:tcPr>
            <w:tcW w:w="749" w:type="pct"/>
            <w:tcBorders>
              <w:top w:val="single" w:color="auto" w:sz="4" w:space="0"/>
              <w:left w:val="single" w:color="auto" w:sz="4" w:space="0"/>
              <w:bottom w:val="single" w:color="auto" w:sz="4" w:space="0"/>
              <w:right w:val="single" w:color="auto" w:sz="4" w:space="0"/>
            </w:tcBorders>
            <w:vAlign w:val="center"/>
          </w:tcPr>
          <w:p>
            <w:pPr>
              <w:pStyle w:val="42"/>
              <w:rPr>
                <w:color w:val="auto"/>
              </w:rPr>
            </w:pPr>
            <w:r>
              <w:rPr>
                <w:rFonts w:hint="eastAsia"/>
                <w:color w:val="auto"/>
              </w:rPr>
              <w:t>1</w:t>
            </w:r>
            <w:r>
              <w:rPr>
                <w:color w:val="auto"/>
              </w:rPr>
              <w:t>.0</w:t>
            </w:r>
          </w:p>
        </w:tc>
      </w:tr>
    </w:tbl>
    <w:p>
      <w:pPr>
        <w:pStyle w:val="5"/>
        <w:spacing w:before="156" w:beforeLines="50"/>
        <w:rPr>
          <w:color w:val="auto"/>
        </w:rPr>
      </w:pPr>
      <w:bookmarkStart w:id="54" w:name="_Toc14132"/>
      <w:bookmarkStart w:id="55" w:name="_Toc61959008"/>
      <w:r>
        <w:rPr>
          <w:color w:val="auto"/>
        </w:rPr>
        <w:t>6.</w:t>
      </w:r>
      <w:r>
        <w:rPr>
          <w:rFonts w:hint="eastAsia"/>
          <w:color w:val="auto"/>
        </w:rPr>
        <w:t>3</w:t>
      </w:r>
      <w:r>
        <w:rPr>
          <w:color w:val="auto"/>
        </w:rPr>
        <w:t>噪声</w:t>
      </w:r>
      <w:bookmarkEnd w:id="54"/>
      <w:bookmarkEnd w:id="55"/>
    </w:p>
    <w:p>
      <w:pPr>
        <w:ind w:firstLine="480"/>
        <w:rPr>
          <w:rFonts w:cs="Times New Roman"/>
          <w:color w:val="auto"/>
        </w:rPr>
      </w:pPr>
      <w:r>
        <w:rPr>
          <w:rFonts w:hint="eastAsia" w:cs="Times New Roman"/>
          <w:color w:val="auto"/>
        </w:rPr>
        <w:t>本项目</w:t>
      </w:r>
      <w:r>
        <w:rPr>
          <w:rFonts w:cs="Times New Roman"/>
          <w:color w:val="auto"/>
        </w:rPr>
        <w:t>厂界</w:t>
      </w:r>
      <w:r>
        <w:rPr>
          <w:rFonts w:hint="eastAsia" w:cs="Times New Roman"/>
          <w:color w:val="auto"/>
        </w:rPr>
        <w:t>四周</w:t>
      </w:r>
      <w:r>
        <w:rPr>
          <w:rFonts w:cs="Times New Roman"/>
          <w:color w:val="auto"/>
        </w:rPr>
        <w:t>噪声执行《工业企业厂界环境噪声排放标准》（GB12348-2008）中的3类区标准</w:t>
      </w:r>
      <w:r>
        <w:rPr>
          <w:rFonts w:hint="eastAsia" w:cs="Times New Roman"/>
          <w:color w:val="auto"/>
        </w:rPr>
        <w:t>，</w:t>
      </w:r>
      <w:r>
        <w:rPr>
          <w:rFonts w:cs="Times New Roman"/>
          <w:color w:val="auto"/>
        </w:rPr>
        <w:t>具体标准见表6-3</w:t>
      </w:r>
      <w:r>
        <w:rPr>
          <w:rFonts w:hint="eastAsia" w:cs="Times New Roman"/>
          <w:color w:val="auto"/>
        </w:rPr>
        <w:t>。</w:t>
      </w:r>
    </w:p>
    <w:p>
      <w:pPr>
        <w:pStyle w:val="29"/>
        <w:spacing w:before="156" w:beforeLines="50" w:after="31"/>
        <w:ind w:firstLine="480"/>
        <w:rPr>
          <w:color w:val="auto"/>
        </w:rPr>
      </w:pPr>
      <w:r>
        <w:rPr>
          <w:rFonts w:hint="eastAsia"/>
          <w:color w:val="auto"/>
        </w:rPr>
        <w:t>表6-</w:t>
      </w:r>
      <w:r>
        <w:rPr>
          <w:color w:val="auto"/>
        </w:rPr>
        <w:t>3</w:t>
      </w:r>
      <w:r>
        <w:rPr>
          <w:rFonts w:hint="eastAsia"/>
          <w:color w:val="auto"/>
        </w:rPr>
        <w:t>《</w:t>
      </w:r>
      <w:r>
        <w:rPr>
          <w:color w:val="auto"/>
        </w:rPr>
        <w:t>工业企业厂界环境噪声排放标准</w:t>
      </w:r>
      <w:r>
        <w:rPr>
          <w:rFonts w:hint="eastAsia"/>
          <w:color w:val="auto"/>
        </w:rPr>
        <w:t>》</w:t>
      </w:r>
      <w:r>
        <w:rPr>
          <w:color w:val="auto"/>
        </w:rPr>
        <w:t>（GB12348-2008）</w:t>
      </w:r>
      <w:r>
        <w:rPr>
          <w:rFonts w:hint="eastAsia"/>
          <w:color w:val="auto"/>
        </w:rPr>
        <w:t>单位：</w:t>
      </w:r>
      <w:r>
        <w:rPr>
          <w:color w:val="auto"/>
        </w:rPr>
        <w:t>dB</w:t>
      </w:r>
      <w:r>
        <w:rPr>
          <w:rFonts w:hint="eastAsia"/>
          <w:color w:val="auto"/>
        </w:rPr>
        <w:t>（</w:t>
      </w:r>
      <w:r>
        <w:rPr>
          <w:color w:val="auto"/>
        </w:rPr>
        <w:t>A</w:t>
      </w:r>
      <w:r>
        <w:rPr>
          <w:rFonts w:hint="eastAsia"/>
          <w:color w:val="auto"/>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2906"/>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restart"/>
            <w:vAlign w:val="center"/>
          </w:tcPr>
          <w:p>
            <w:pPr>
              <w:pStyle w:val="32"/>
              <w:rPr>
                <w:b/>
                <w:bCs/>
                <w:color w:val="auto"/>
              </w:rPr>
            </w:pPr>
            <w:r>
              <w:rPr>
                <w:rFonts w:hint="eastAsia"/>
                <w:b/>
                <w:bCs/>
                <w:color w:val="auto"/>
              </w:rPr>
              <w:t>厂界外声环境功能区类别</w:t>
            </w:r>
          </w:p>
        </w:tc>
        <w:tc>
          <w:tcPr>
            <w:tcW w:w="3333" w:type="pct"/>
            <w:gridSpan w:val="2"/>
            <w:vAlign w:val="center"/>
          </w:tcPr>
          <w:p>
            <w:pPr>
              <w:pStyle w:val="32"/>
              <w:rPr>
                <w:b/>
                <w:bCs/>
                <w:color w:val="auto"/>
              </w:rPr>
            </w:pPr>
            <w:r>
              <w:rPr>
                <w:rFonts w:hint="eastAsia"/>
                <w:b/>
                <w:bCs/>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continue"/>
            <w:vAlign w:val="center"/>
          </w:tcPr>
          <w:p>
            <w:pPr>
              <w:pStyle w:val="32"/>
              <w:rPr>
                <w:color w:val="auto"/>
              </w:rPr>
            </w:pPr>
          </w:p>
        </w:tc>
        <w:tc>
          <w:tcPr>
            <w:tcW w:w="1666" w:type="pct"/>
            <w:vAlign w:val="center"/>
          </w:tcPr>
          <w:p>
            <w:pPr>
              <w:pStyle w:val="32"/>
              <w:rPr>
                <w:b/>
                <w:bCs/>
                <w:color w:val="auto"/>
              </w:rPr>
            </w:pPr>
            <w:r>
              <w:rPr>
                <w:rFonts w:hint="eastAsia"/>
                <w:b/>
                <w:bCs/>
                <w:color w:val="auto"/>
              </w:rPr>
              <w:t>昼间</w:t>
            </w:r>
          </w:p>
        </w:tc>
        <w:tc>
          <w:tcPr>
            <w:tcW w:w="1666" w:type="pct"/>
            <w:vAlign w:val="center"/>
          </w:tcPr>
          <w:p>
            <w:pPr>
              <w:pStyle w:val="32"/>
              <w:rPr>
                <w:b/>
                <w:bCs/>
                <w:color w:val="auto"/>
              </w:rPr>
            </w:pPr>
            <w:r>
              <w:rPr>
                <w:rFonts w:hint="eastAsia"/>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pStyle w:val="32"/>
              <w:rPr>
                <w:color w:val="auto"/>
              </w:rPr>
            </w:pPr>
            <w:r>
              <w:rPr>
                <w:color w:val="auto"/>
              </w:rPr>
              <w:t>3</w:t>
            </w:r>
            <w:r>
              <w:rPr>
                <w:rFonts w:hint="eastAsia"/>
                <w:color w:val="auto"/>
              </w:rPr>
              <w:t>类</w:t>
            </w:r>
          </w:p>
        </w:tc>
        <w:tc>
          <w:tcPr>
            <w:tcW w:w="1666" w:type="pct"/>
            <w:vAlign w:val="center"/>
          </w:tcPr>
          <w:p>
            <w:pPr>
              <w:pStyle w:val="32"/>
              <w:rPr>
                <w:color w:val="auto"/>
              </w:rPr>
            </w:pPr>
            <w:r>
              <w:rPr>
                <w:color w:val="auto"/>
              </w:rPr>
              <w:t>65</w:t>
            </w:r>
          </w:p>
        </w:tc>
        <w:tc>
          <w:tcPr>
            <w:tcW w:w="1666" w:type="pct"/>
            <w:vAlign w:val="center"/>
          </w:tcPr>
          <w:p>
            <w:pPr>
              <w:pStyle w:val="32"/>
              <w:rPr>
                <w:color w:val="auto"/>
              </w:rPr>
            </w:pPr>
            <w:r>
              <w:rPr>
                <w:color w:val="auto"/>
              </w:rPr>
              <w:t>55</w:t>
            </w:r>
          </w:p>
        </w:tc>
      </w:tr>
    </w:tbl>
    <w:p>
      <w:pPr>
        <w:pStyle w:val="5"/>
        <w:rPr>
          <w:color w:val="auto"/>
        </w:rPr>
      </w:pPr>
      <w:bookmarkStart w:id="56" w:name="_Toc3107"/>
      <w:bookmarkStart w:id="57" w:name="_Toc61959009"/>
      <w:r>
        <w:rPr>
          <w:color w:val="auto"/>
        </w:rPr>
        <w:t>6</w:t>
      </w:r>
      <w:r>
        <w:rPr>
          <w:rFonts w:hint="eastAsia"/>
          <w:color w:val="auto"/>
        </w:rPr>
        <w:t>.4</w:t>
      </w:r>
      <w:r>
        <w:rPr>
          <w:color w:val="auto"/>
        </w:rPr>
        <w:t>固体废弃物</w:t>
      </w:r>
      <w:bookmarkEnd w:id="56"/>
      <w:bookmarkEnd w:id="57"/>
    </w:p>
    <w:p>
      <w:pPr>
        <w:ind w:firstLine="480"/>
        <w:rPr>
          <w:color w:val="auto"/>
        </w:rPr>
      </w:pPr>
      <w:r>
        <w:rPr>
          <w:color w:val="auto"/>
        </w:rPr>
        <w:t>一般固体废物的</w:t>
      </w:r>
      <w:r>
        <w:rPr>
          <w:bCs/>
          <w:color w:val="auto"/>
        </w:rPr>
        <w:t>贮存和处置</w:t>
      </w:r>
      <w:r>
        <w:rPr>
          <w:color w:val="auto"/>
        </w:rPr>
        <w:t>执行</w:t>
      </w:r>
      <w:r>
        <w:rPr>
          <w:rFonts w:hint="eastAsia"/>
          <w:color w:val="auto"/>
        </w:rPr>
        <w:t>《中华人民共和国固体废物污染环境防治法（2020年修订）》以及GB18599-2020《一般工业固体废物贮存和填埋污染物控制标准》中相应防渗漏、防雨淋、防扬尘等环境保护要求的有关规定</w:t>
      </w:r>
      <w:r>
        <w:rPr>
          <w:color w:val="auto"/>
        </w:rPr>
        <w:t>。</w:t>
      </w:r>
    </w:p>
    <w:p>
      <w:pPr>
        <w:pStyle w:val="2"/>
        <w:ind w:left="480" w:firstLine="480"/>
        <w:rPr>
          <w:color w:val="auto"/>
        </w:rPr>
      </w:pPr>
    </w:p>
    <w:p>
      <w:pPr>
        <w:pStyle w:val="2"/>
        <w:ind w:left="480" w:firstLine="480"/>
        <w:rPr>
          <w:color w:val="auto"/>
        </w:rPr>
        <w:sectPr>
          <w:pgSz w:w="11906" w:h="16838"/>
          <w:pgMar w:top="1418" w:right="1701" w:bottom="1418" w:left="1701" w:header="851" w:footer="992" w:gutter="0"/>
          <w:pgNumType w:fmt="numberInDash"/>
          <w:cols w:space="425" w:num="1"/>
          <w:docGrid w:type="lines" w:linePitch="312" w:charSpace="0"/>
        </w:sectPr>
      </w:pPr>
    </w:p>
    <w:p>
      <w:pPr>
        <w:pStyle w:val="4"/>
        <w:rPr>
          <w:color w:val="auto"/>
        </w:rPr>
      </w:pPr>
      <w:bookmarkStart w:id="58" w:name="_Toc515273919"/>
      <w:bookmarkStart w:id="59" w:name="_Toc61959010"/>
      <w:r>
        <w:rPr>
          <w:rFonts w:hint="eastAsia"/>
          <w:color w:val="auto"/>
        </w:rPr>
        <w:t>7</w:t>
      </w:r>
      <w:r>
        <w:rPr>
          <w:color w:val="auto"/>
        </w:rPr>
        <w:t>验收监测内容</w:t>
      </w:r>
      <w:bookmarkEnd w:id="58"/>
      <w:bookmarkEnd w:id="59"/>
    </w:p>
    <w:p>
      <w:pPr>
        <w:pStyle w:val="5"/>
        <w:rPr>
          <w:color w:val="auto"/>
        </w:rPr>
      </w:pPr>
      <w:bookmarkStart w:id="60" w:name="_Toc515273920"/>
      <w:bookmarkStart w:id="61" w:name="_Toc17252"/>
      <w:bookmarkStart w:id="62" w:name="_Toc1654"/>
      <w:bookmarkStart w:id="63" w:name="_Toc61959011"/>
      <w:bookmarkStart w:id="64" w:name="_Toc18329"/>
      <w:r>
        <w:rPr>
          <w:color w:val="auto"/>
        </w:rPr>
        <w:t>7</w:t>
      </w:r>
      <w:bookmarkEnd w:id="60"/>
      <w:r>
        <w:rPr>
          <w:rFonts w:hint="eastAsia"/>
          <w:color w:val="auto"/>
        </w:rPr>
        <w:t>.1</w:t>
      </w:r>
      <w:r>
        <w:rPr>
          <w:color w:val="auto"/>
        </w:rPr>
        <w:t>废水</w:t>
      </w:r>
      <w:bookmarkEnd w:id="61"/>
      <w:bookmarkEnd w:id="62"/>
      <w:bookmarkEnd w:id="63"/>
      <w:bookmarkEnd w:id="64"/>
    </w:p>
    <w:p>
      <w:pPr>
        <w:ind w:firstLine="480"/>
        <w:rPr>
          <w:rFonts w:cs="Times New Roman"/>
          <w:color w:val="auto"/>
        </w:rPr>
      </w:pPr>
      <w:r>
        <w:rPr>
          <w:rFonts w:cs="Times New Roman"/>
          <w:color w:val="auto"/>
        </w:rPr>
        <w:t>废水监测内容及频次见表7-1。</w:t>
      </w:r>
    </w:p>
    <w:p>
      <w:pPr>
        <w:pStyle w:val="30"/>
        <w:spacing w:before="62" w:after="31"/>
        <w:rPr>
          <w:color w:val="auto"/>
        </w:rPr>
      </w:pPr>
      <w:r>
        <w:rPr>
          <w:color w:val="auto"/>
        </w:rPr>
        <w:t>表7-1废水监测内容及频次</w:t>
      </w:r>
    </w:p>
    <w:tbl>
      <w:tblPr>
        <w:tblStyle w:val="21"/>
        <w:tblW w:w="5087" w:type="pct"/>
        <w:jc w:val="center"/>
        <w:tblLayout w:type="autofit"/>
        <w:tblCellMar>
          <w:top w:w="0" w:type="dxa"/>
          <w:left w:w="0" w:type="dxa"/>
          <w:bottom w:w="0" w:type="dxa"/>
          <w:right w:w="0" w:type="dxa"/>
        </w:tblCellMar>
      </w:tblPr>
      <w:tblGrid>
        <w:gridCol w:w="2932"/>
        <w:gridCol w:w="3134"/>
        <w:gridCol w:w="2616"/>
      </w:tblGrid>
      <w:tr>
        <w:tblPrEx>
          <w:tblCellMar>
            <w:top w:w="0" w:type="dxa"/>
            <w:left w:w="0" w:type="dxa"/>
            <w:bottom w:w="0" w:type="dxa"/>
            <w:right w:w="0" w:type="dxa"/>
          </w:tblCellMar>
        </w:tblPrEx>
        <w:trPr>
          <w:trHeight w:val="340" w:hRule="atLeast"/>
          <w:jc w:val="center"/>
        </w:trPr>
        <w:tc>
          <w:tcPr>
            <w:tcW w:w="168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2"/>
              <w:rPr>
                <w:b/>
                <w:bCs/>
                <w:color w:val="auto"/>
              </w:rPr>
            </w:pPr>
            <w:r>
              <w:rPr>
                <w:b/>
                <w:bCs/>
                <w:color w:val="auto"/>
              </w:rPr>
              <w:t>监测点位</w:t>
            </w:r>
          </w:p>
        </w:tc>
        <w:tc>
          <w:tcPr>
            <w:tcW w:w="1804"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32"/>
              <w:rPr>
                <w:b/>
                <w:bCs/>
                <w:color w:val="auto"/>
              </w:rPr>
            </w:pPr>
            <w:r>
              <w:rPr>
                <w:b/>
                <w:bCs/>
                <w:color w:val="auto"/>
              </w:rPr>
              <w:t>监测因子</w:t>
            </w:r>
          </w:p>
        </w:tc>
        <w:tc>
          <w:tcPr>
            <w:tcW w:w="1506"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32"/>
              <w:rPr>
                <w:b/>
                <w:bCs/>
                <w:color w:val="auto"/>
              </w:rPr>
            </w:pPr>
            <w:r>
              <w:rPr>
                <w:b/>
                <w:bCs/>
                <w:color w:val="auto"/>
              </w:rPr>
              <w:t>监测频次</w:t>
            </w:r>
          </w:p>
        </w:tc>
      </w:tr>
      <w:tr>
        <w:tblPrEx>
          <w:tblCellMar>
            <w:top w:w="0" w:type="dxa"/>
            <w:left w:w="0" w:type="dxa"/>
            <w:bottom w:w="0" w:type="dxa"/>
            <w:right w:w="0" w:type="dxa"/>
          </w:tblCellMar>
        </w:tblPrEx>
        <w:trPr>
          <w:trHeight w:val="340" w:hRule="atLeast"/>
          <w:jc w:val="center"/>
        </w:trPr>
        <w:tc>
          <w:tcPr>
            <w:tcW w:w="168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2"/>
              <w:rPr>
                <w:color w:val="auto"/>
              </w:rPr>
            </w:pPr>
            <w:r>
              <w:rPr>
                <w:rFonts w:hint="eastAsia"/>
                <w:color w:val="auto"/>
              </w:rPr>
              <w:t>废水总排口</w:t>
            </w:r>
          </w:p>
        </w:tc>
        <w:tc>
          <w:tcPr>
            <w:tcW w:w="1804"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32"/>
              <w:rPr>
                <w:color w:val="auto"/>
              </w:rPr>
            </w:pPr>
            <w:r>
              <w:rPr>
                <w:color w:val="auto"/>
              </w:rPr>
              <w:t>pH、</w:t>
            </w:r>
            <w:r>
              <w:rPr>
                <w:rFonts w:hint="eastAsia"/>
                <w:color w:val="auto"/>
              </w:rPr>
              <w:t>COD</w:t>
            </w:r>
            <w:r>
              <w:rPr>
                <w:rFonts w:hint="eastAsia"/>
                <w:color w:val="auto"/>
                <w:vertAlign w:val="subscript"/>
              </w:rPr>
              <w:t>Cr</w:t>
            </w:r>
            <w:r>
              <w:rPr>
                <w:color w:val="auto"/>
              </w:rPr>
              <w:t>、</w:t>
            </w:r>
            <w:r>
              <w:rPr>
                <w:rFonts w:hint="eastAsia"/>
                <w:color w:val="auto"/>
              </w:rPr>
              <w:t>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w:t>
            </w:r>
            <w:r>
              <w:rPr>
                <w:color w:val="auto"/>
              </w:rPr>
              <w:t>、</w:t>
            </w:r>
            <w:r>
              <w:rPr>
                <w:rFonts w:hint="eastAsia"/>
                <w:color w:val="auto"/>
              </w:rPr>
              <w:t>SS、动植物油</w:t>
            </w:r>
          </w:p>
        </w:tc>
        <w:tc>
          <w:tcPr>
            <w:tcW w:w="1506"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32"/>
              <w:rPr>
                <w:color w:val="auto"/>
              </w:rPr>
            </w:pPr>
            <w:r>
              <w:rPr>
                <w:rFonts w:hint="eastAsia"/>
                <w:color w:val="auto"/>
              </w:rPr>
              <w:t>监测</w:t>
            </w:r>
            <w:r>
              <w:rPr>
                <w:color w:val="auto"/>
              </w:rPr>
              <w:t>2天，每天4次</w:t>
            </w:r>
          </w:p>
        </w:tc>
      </w:tr>
    </w:tbl>
    <w:p>
      <w:pPr>
        <w:pStyle w:val="5"/>
        <w:rPr>
          <w:color w:val="auto"/>
        </w:rPr>
      </w:pPr>
      <w:bookmarkStart w:id="65" w:name="_Toc30980"/>
      <w:bookmarkStart w:id="66" w:name="_Toc23584"/>
      <w:bookmarkStart w:id="67" w:name="_Toc61959012"/>
      <w:r>
        <w:rPr>
          <w:color w:val="auto"/>
        </w:rPr>
        <w:t>7</w:t>
      </w:r>
      <w:r>
        <w:rPr>
          <w:rFonts w:hint="eastAsia"/>
          <w:color w:val="auto"/>
        </w:rPr>
        <w:t>.</w:t>
      </w:r>
      <w:r>
        <w:rPr>
          <w:color w:val="auto"/>
        </w:rPr>
        <w:t>2废气</w:t>
      </w:r>
      <w:bookmarkEnd w:id="65"/>
      <w:bookmarkEnd w:id="66"/>
      <w:bookmarkEnd w:id="67"/>
    </w:p>
    <w:p>
      <w:pPr>
        <w:ind w:firstLine="480"/>
        <w:rPr>
          <w:rFonts w:cs="Times New Roman"/>
          <w:color w:val="auto"/>
        </w:rPr>
      </w:pPr>
      <w:r>
        <w:rPr>
          <w:rFonts w:hint="eastAsia" w:cs="Times New Roman"/>
          <w:color w:val="auto"/>
        </w:rPr>
        <w:t>无组织废气</w:t>
      </w:r>
      <w:r>
        <w:rPr>
          <w:rFonts w:cs="Times New Roman"/>
          <w:color w:val="auto"/>
        </w:rPr>
        <w:t>监测内容及频次具体见表7-2。</w:t>
      </w:r>
    </w:p>
    <w:p>
      <w:pPr>
        <w:pStyle w:val="30"/>
        <w:spacing w:before="62" w:after="31"/>
        <w:rPr>
          <w:color w:val="auto"/>
        </w:rPr>
      </w:pPr>
      <w:r>
        <w:rPr>
          <w:color w:val="auto"/>
        </w:rPr>
        <w:t>表7-2</w:t>
      </w:r>
      <w:r>
        <w:rPr>
          <w:rFonts w:hint="eastAsia"/>
          <w:color w:val="auto"/>
        </w:rPr>
        <w:t>无组织</w:t>
      </w:r>
      <w:r>
        <w:rPr>
          <w:color w:val="auto"/>
        </w:rPr>
        <w:t>废气监测内容及频次</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3201"/>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32"/>
              <w:rPr>
                <w:b/>
                <w:bCs/>
                <w:color w:val="auto"/>
              </w:rPr>
            </w:pPr>
            <w:r>
              <w:rPr>
                <w:b/>
                <w:bCs/>
                <w:color w:val="auto"/>
              </w:rPr>
              <w:t>监测点位</w:t>
            </w:r>
          </w:p>
        </w:tc>
        <w:tc>
          <w:tcPr>
            <w:tcW w:w="1835" w:type="pct"/>
            <w:vAlign w:val="center"/>
          </w:tcPr>
          <w:p>
            <w:pPr>
              <w:pStyle w:val="32"/>
              <w:rPr>
                <w:b/>
                <w:bCs/>
                <w:color w:val="auto"/>
              </w:rPr>
            </w:pPr>
            <w:r>
              <w:rPr>
                <w:b/>
                <w:bCs/>
                <w:color w:val="auto"/>
              </w:rPr>
              <w:t>监测因子</w:t>
            </w:r>
          </w:p>
        </w:tc>
        <w:tc>
          <w:tcPr>
            <w:tcW w:w="1498" w:type="pct"/>
            <w:vAlign w:val="center"/>
          </w:tcPr>
          <w:p>
            <w:pPr>
              <w:pStyle w:val="32"/>
              <w:rPr>
                <w:b/>
                <w:bCs/>
                <w:color w:val="auto"/>
              </w:rPr>
            </w:pPr>
            <w:r>
              <w:rPr>
                <w:b/>
                <w:bCs/>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32"/>
              <w:rPr>
                <w:color w:val="auto"/>
              </w:rPr>
            </w:pPr>
            <w:r>
              <w:rPr>
                <w:color w:val="auto"/>
              </w:rPr>
              <w:t>东、南、西、北厂界</w:t>
            </w:r>
          </w:p>
        </w:tc>
        <w:tc>
          <w:tcPr>
            <w:tcW w:w="1835" w:type="pct"/>
            <w:vAlign w:val="center"/>
          </w:tcPr>
          <w:p>
            <w:pPr>
              <w:pStyle w:val="32"/>
              <w:rPr>
                <w:color w:val="auto"/>
              </w:rPr>
            </w:pPr>
            <w:r>
              <w:rPr>
                <w:rFonts w:hint="eastAsia"/>
                <w:color w:val="auto"/>
              </w:rPr>
              <w:t>总悬浮颗粒物</w:t>
            </w:r>
          </w:p>
        </w:tc>
        <w:tc>
          <w:tcPr>
            <w:tcW w:w="1498" w:type="pct"/>
            <w:vAlign w:val="center"/>
          </w:tcPr>
          <w:p>
            <w:pPr>
              <w:pStyle w:val="32"/>
              <w:rPr>
                <w:color w:val="auto"/>
              </w:rPr>
            </w:pPr>
            <w:r>
              <w:rPr>
                <w:color w:val="auto"/>
              </w:rPr>
              <w:t>监测2天，每天</w:t>
            </w:r>
            <w:r>
              <w:rPr>
                <w:rFonts w:hint="eastAsia"/>
                <w:color w:val="auto"/>
              </w:rPr>
              <w:t>4</w:t>
            </w:r>
            <w:r>
              <w:rPr>
                <w:color w:val="auto"/>
              </w:rPr>
              <w:t>次</w:t>
            </w:r>
          </w:p>
        </w:tc>
      </w:tr>
    </w:tbl>
    <w:p>
      <w:pPr>
        <w:ind w:firstLine="480"/>
        <w:rPr>
          <w:rFonts w:cs="Times New Roman"/>
          <w:color w:val="auto"/>
        </w:rPr>
      </w:pPr>
      <w:bookmarkStart w:id="68" w:name="_Toc61959013"/>
      <w:bookmarkStart w:id="69" w:name="_Toc21940"/>
      <w:bookmarkStart w:id="70" w:name="_Toc11835"/>
      <w:r>
        <w:rPr>
          <w:rFonts w:hint="eastAsia" w:cs="Times New Roman"/>
          <w:color w:val="auto"/>
        </w:rPr>
        <w:t>有组织废气监测内容及频次见表7-3。</w:t>
      </w:r>
    </w:p>
    <w:p>
      <w:pPr>
        <w:pStyle w:val="30"/>
        <w:spacing w:before="62" w:after="31"/>
        <w:rPr>
          <w:color w:val="auto"/>
        </w:rPr>
      </w:pPr>
      <w:r>
        <w:rPr>
          <w:color w:val="auto"/>
        </w:rPr>
        <w:t>表7-</w:t>
      </w:r>
      <w:r>
        <w:rPr>
          <w:rFonts w:hint="eastAsia"/>
          <w:color w:val="auto"/>
        </w:rPr>
        <w:t>3有组织</w:t>
      </w:r>
      <w:r>
        <w:rPr>
          <w:color w:val="auto"/>
        </w:rPr>
        <w:t>废气监测内容及频次</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3201"/>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32"/>
              <w:rPr>
                <w:b/>
                <w:bCs/>
                <w:color w:val="auto"/>
              </w:rPr>
            </w:pPr>
            <w:r>
              <w:rPr>
                <w:b/>
                <w:bCs/>
                <w:color w:val="auto"/>
              </w:rPr>
              <w:t>监测点位</w:t>
            </w:r>
          </w:p>
        </w:tc>
        <w:tc>
          <w:tcPr>
            <w:tcW w:w="1835" w:type="pct"/>
            <w:vAlign w:val="center"/>
          </w:tcPr>
          <w:p>
            <w:pPr>
              <w:pStyle w:val="32"/>
              <w:rPr>
                <w:b/>
                <w:bCs/>
                <w:color w:val="auto"/>
              </w:rPr>
            </w:pPr>
            <w:r>
              <w:rPr>
                <w:b/>
                <w:bCs/>
                <w:color w:val="auto"/>
              </w:rPr>
              <w:t>监测因子</w:t>
            </w:r>
          </w:p>
        </w:tc>
        <w:tc>
          <w:tcPr>
            <w:tcW w:w="1498" w:type="pct"/>
            <w:vAlign w:val="center"/>
          </w:tcPr>
          <w:p>
            <w:pPr>
              <w:pStyle w:val="32"/>
              <w:rPr>
                <w:b/>
                <w:bCs/>
                <w:color w:val="auto"/>
              </w:rPr>
            </w:pPr>
            <w:r>
              <w:rPr>
                <w:b/>
                <w:bCs/>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32"/>
              <w:rPr>
                <w:color w:val="auto"/>
              </w:rPr>
            </w:pPr>
            <w:r>
              <w:rPr>
                <w:rFonts w:hint="eastAsia"/>
                <w:color w:val="auto"/>
              </w:rPr>
              <w:t>废气处理设施进口</w:t>
            </w:r>
          </w:p>
        </w:tc>
        <w:tc>
          <w:tcPr>
            <w:tcW w:w="1835" w:type="pct"/>
            <w:vAlign w:val="center"/>
          </w:tcPr>
          <w:p>
            <w:pPr>
              <w:pStyle w:val="32"/>
              <w:rPr>
                <w:color w:val="auto"/>
              </w:rPr>
            </w:pPr>
            <w:r>
              <w:rPr>
                <w:rFonts w:hint="eastAsia"/>
                <w:color w:val="auto"/>
              </w:rPr>
              <w:t>颗粒物</w:t>
            </w:r>
          </w:p>
        </w:tc>
        <w:tc>
          <w:tcPr>
            <w:tcW w:w="1498" w:type="pct"/>
            <w:vAlign w:val="center"/>
          </w:tcPr>
          <w:p>
            <w:pPr>
              <w:pStyle w:val="32"/>
              <w:rPr>
                <w:color w:val="auto"/>
              </w:rPr>
            </w:pPr>
            <w:r>
              <w:rPr>
                <w:color w:val="auto"/>
              </w:rPr>
              <w:t>监测2天，每天</w:t>
            </w:r>
            <w:r>
              <w:rPr>
                <w:rFonts w:hint="eastAsia"/>
                <w:color w:val="auto"/>
              </w:rPr>
              <w:t>3</w:t>
            </w:r>
            <w:r>
              <w:rPr>
                <w:color w:val="auto"/>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32"/>
              <w:rPr>
                <w:color w:val="auto"/>
              </w:rPr>
            </w:pPr>
            <w:r>
              <w:rPr>
                <w:rFonts w:hint="eastAsia"/>
                <w:color w:val="auto"/>
              </w:rPr>
              <w:t>废气处理设施出口</w:t>
            </w:r>
          </w:p>
        </w:tc>
        <w:tc>
          <w:tcPr>
            <w:tcW w:w="3201" w:type="dxa"/>
            <w:vAlign w:val="center"/>
          </w:tcPr>
          <w:p>
            <w:pPr>
              <w:pStyle w:val="32"/>
              <w:rPr>
                <w:color w:val="auto"/>
              </w:rPr>
            </w:pPr>
            <w:r>
              <w:rPr>
                <w:rFonts w:hint="eastAsia"/>
                <w:color w:val="auto"/>
              </w:rPr>
              <w:t>低浓度颗粒物</w:t>
            </w:r>
          </w:p>
        </w:tc>
        <w:tc>
          <w:tcPr>
            <w:tcW w:w="2613" w:type="dxa"/>
            <w:vAlign w:val="center"/>
          </w:tcPr>
          <w:p>
            <w:pPr>
              <w:pStyle w:val="32"/>
              <w:rPr>
                <w:color w:val="auto"/>
              </w:rPr>
            </w:pPr>
            <w:r>
              <w:rPr>
                <w:color w:val="auto"/>
              </w:rPr>
              <w:t>监测2天，每天</w:t>
            </w:r>
            <w:r>
              <w:rPr>
                <w:rFonts w:hint="eastAsia"/>
                <w:color w:val="auto"/>
              </w:rPr>
              <w:t>3</w:t>
            </w:r>
            <w:r>
              <w:rPr>
                <w:color w:val="auto"/>
              </w:rPr>
              <w:t>次</w:t>
            </w:r>
          </w:p>
        </w:tc>
      </w:tr>
    </w:tbl>
    <w:p>
      <w:pPr>
        <w:pStyle w:val="5"/>
        <w:spacing w:before="156" w:beforeLines="50"/>
        <w:rPr>
          <w:color w:val="auto"/>
        </w:rPr>
      </w:pPr>
      <w:r>
        <w:rPr>
          <w:rFonts w:cs="Times New Roman"/>
          <w:color w:val="auto"/>
          <w:kern w:val="44"/>
          <w:szCs w:val="24"/>
        </w:rPr>
        <w:t>7</w:t>
      </w:r>
      <w:r>
        <w:rPr>
          <w:rFonts w:hint="eastAsia" w:cs="Times New Roman"/>
          <w:color w:val="auto"/>
          <w:kern w:val="44"/>
          <w:szCs w:val="24"/>
        </w:rPr>
        <w:t>.</w:t>
      </w:r>
      <w:r>
        <w:rPr>
          <w:rFonts w:cs="Times New Roman"/>
          <w:color w:val="auto"/>
          <w:kern w:val="44"/>
          <w:szCs w:val="24"/>
        </w:rPr>
        <w:t>3噪声</w:t>
      </w:r>
      <w:bookmarkEnd w:id="68"/>
      <w:bookmarkEnd w:id="69"/>
      <w:bookmarkEnd w:id="70"/>
    </w:p>
    <w:p>
      <w:pPr>
        <w:snapToGrid w:val="0"/>
        <w:ind w:firstLine="480"/>
        <w:rPr>
          <w:rFonts w:cs="Times New Roman"/>
          <w:color w:val="auto"/>
        </w:rPr>
      </w:pPr>
      <w:r>
        <w:rPr>
          <w:rFonts w:cs="Times New Roman"/>
          <w:color w:val="auto"/>
        </w:rPr>
        <w:t>厂界噪声监测内容见表7-</w:t>
      </w:r>
      <w:r>
        <w:rPr>
          <w:rFonts w:hint="eastAsia" w:cs="Times New Roman"/>
          <w:color w:val="auto"/>
        </w:rPr>
        <w:t>4</w:t>
      </w:r>
      <w:r>
        <w:rPr>
          <w:rFonts w:cs="Times New Roman"/>
          <w:color w:val="auto"/>
        </w:rPr>
        <w:t>。</w:t>
      </w:r>
    </w:p>
    <w:p>
      <w:pPr>
        <w:pStyle w:val="30"/>
        <w:spacing w:before="62" w:after="31"/>
        <w:rPr>
          <w:color w:val="auto"/>
        </w:rPr>
      </w:pPr>
      <w:r>
        <w:rPr>
          <w:color w:val="auto"/>
        </w:rPr>
        <w:t>表7-</w:t>
      </w:r>
      <w:r>
        <w:rPr>
          <w:rFonts w:hint="eastAsia"/>
          <w:color w:val="auto"/>
        </w:rPr>
        <w:t>4</w:t>
      </w:r>
      <w:r>
        <w:rPr>
          <w:color w:val="auto"/>
        </w:rPr>
        <w:t>噪声监测内容及监测频次</w:t>
      </w:r>
    </w:p>
    <w:tbl>
      <w:tblPr>
        <w:tblStyle w:val="21"/>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3217"/>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32"/>
              <w:rPr>
                <w:b/>
                <w:bCs/>
                <w:color w:val="auto"/>
              </w:rPr>
            </w:pPr>
            <w:r>
              <w:rPr>
                <w:b/>
                <w:bCs/>
                <w:color w:val="auto"/>
              </w:rPr>
              <w:t>监测点位</w:t>
            </w:r>
          </w:p>
        </w:tc>
        <w:tc>
          <w:tcPr>
            <w:tcW w:w="1854" w:type="pct"/>
            <w:vAlign w:val="center"/>
          </w:tcPr>
          <w:p>
            <w:pPr>
              <w:pStyle w:val="32"/>
              <w:rPr>
                <w:b/>
                <w:bCs/>
                <w:color w:val="auto"/>
              </w:rPr>
            </w:pPr>
            <w:r>
              <w:rPr>
                <w:b/>
                <w:bCs/>
                <w:color w:val="auto"/>
              </w:rPr>
              <w:t>监测因子</w:t>
            </w:r>
          </w:p>
        </w:tc>
        <w:tc>
          <w:tcPr>
            <w:tcW w:w="1478" w:type="pct"/>
            <w:vAlign w:val="center"/>
          </w:tcPr>
          <w:p>
            <w:pPr>
              <w:pStyle w:val="32"/>
              <w:rPr>
                <w:b/>
                <w:bCs/>
                <w:color w:val="auto"/>
              </w:rPr>
            </w:pPr>
            <w:r>
              <w:rPr>
                <w:b/>
                <w:bCs/>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32"/>
              <w:rPr>
                <w:color w:val="auto"/>
              </w:rPr>
            </w:pPr>
            <w:r>
              <w:rPr>
                <w:color w:val="auto"/>
              </w:rPr>
              <w:t>东、南、西、北厂界</w:t>
            </w:r>
          </w:p>
        </w:tc>
        <w:tc>
          <w:tcPr>
            <w:tcW w:w="1854" w:type="pct"/>
            <w:vAlign w:val="center"/>
          </w:tcPr>
          <w:p>
            <w:pPr>
              <w:pStyle w:val="32"/>
              <w:rPr>
                <w:color w:val="auto"/>
              </w:rPr>
            </w:pPr>
            <w:r>
              <w:rPr>
                <w:color w:val="auto"/>
              </w:rPr>
              <w:t>等效连续A声级</w:t>
            </w:r>
          </w:p>
        </w:tc>
        <w:tc>
          <w:tcPr>
            <w:tcW w:w="1478" w:type="pct"/>
            <w:vAlign w:val="center"/>
          </w:tcPr>
          <w:p>
            <w:pPr>
              <w:pStyle w:val="32"/>
              <w:rPr>
                <w:color w:val="auto"/>
              </w:rPr>
            </w:pPr>
            <w:r>
              <w:rPr>
                <w:color w:val="auto"/>
              </w:rPr>
              <w:t>监测2天，昼</w:t>
            </w:r>
            <w:r>
              <w:rPr>
                <w:rFonts w:hint="eastAsia"/>
                <w:color w:val="auto"/>
              </w:rPr>
              <w:t>夜各1</w:t>
            </w:r>
            <w:r>
              <w:rPr>
                <w:color w:val="auto"/>
              </w:rPr>
              <w:t>次</w:t>
            </w:r>
          </w:p>
        </w:tc>
      </w:tr>
    </w:tbl>
    <w:p>
      <w:pPr>
        <w:pStyle w:val="5"/>
        <w:rPr>
          <w:rFonts w:cs="Times New Roman"/>
          <w:color w:val="auto"/>
          <w:kern w:val="44"/>
          <w:szCs w:val="24"/>
        </w:rPr>
      </w:pPr>
      <w:bookmarkStart w:id="71" w:name="_Toc61959014"/>
      <w:bookmarkStart w:id="72" w:name="_Toc24171"/>
      <w:bookmarkStart w:id="73" w:name="_Toc5220"/>
      <w:r>
        <w:rPr>
          <w:rFonts w:cs="Times New Roman"/>
          <w:color w:val="auto"/>
          <w:kern w:val="44"/>
          <w:szCs w:val="24"/>
        </w:rPr>
        <w:t>7</w:t>
      </w:r>
      <w:r>
        <w:rPr>
          <w:rFonts w:hint="eastAsia" w:cs="Times New Roman"/>
          <w:color w:val="auto"/>
          <w:kern w:val="44"/>
          <w:szCs w:val="24"/>
        </w:rPr>
        <w:t>.</w:t>
      </w:r>
      <w:r>
        <w:rPr>
          <w:rFonts w:cs="Times New Roman"/>
          <w:color w:val="auto"/>
          <w:kern w:val="44"/>
          <w:szCs w:val="24"/>
        </w:rPr>
        <w:t>4固废</w:t>
      </w:r>
      <w:bookmarkEnd w:id="71"/>
      <w:bookmarkEnd w:id="72"/>
      <w:bookmarkEnd w:id="73"/>
    </w:p>
    <w:p>
      <w:pPr>
        <w:ind w:firstLine="480"/>
        <w:rPr>
          <w:rFonts w:cs="Times New Roman"/>
          <w:color w:val="auto"/>
        </w:rPr>
      </w:pPr>
      <w:r>
        <w:rPr>
          <w:rFonts w:cs="Times New Roman"/>
          <w:color w:val="auto"/>
        </w:rPr>
        <w:t>调查项目产生的固体废弃物的种类、属性、年产生量和处理方式。</w:t>
      </w:r>
    </w:p>
    <w:p>
      <w:pPr>
        <w:ind w:firstLine="480"/>
        <w:rPr>
          <w:rFonts w:cs="Times New Roman"/>
          <w:color w:val="auto"/>
        </w:rPr>
      </w:pPr>
      <w:r>
        <w:rPr>
          <w:rFonts w:cs="Times New Roman"/>
          <w:color w:val="auto"/>
        </w:rPr>
        <w:br w:type="page"/>
      </w:r>
    </w:p>
    <w:p>
      <w:pPr>
        <w:pStyle w:val="4"/>
        <w:rPr>
          <w:color w:val="auto"/>
        </w:rPr>
      </w:pPr>
      <w:bookmarkStart w:id="74" w:name="_Toc515273921"/>
      <w:bookmarkStart w:id="75" w:name="_Toc61959015"/>
      <w:r>
        <w:rPr>
          <w:rFonts w:hint="eastAsia"/>
          <w:color w:val="auto"/>
        </w:rPr>
        <w:t>8</w:t>
      </w:r>
      <w:r>
        <w:rPr>
          <w:color w:val="auto"/>
        </w:rPr>
        <w:t>质量保证及质量控制</w:t>
      </w:r>
      <w:bookmarkEnd w:id="74"/>
      <w:bookmarkEnd w:id="75"/>
    </w:p>
    <w:p>
      <w:pPr>
        <w:ind w:firstLine="480"/>
        <w:rPr>
          <w:color w:val="auto"/>
        </w:rPr>
      </w:pPr>
      <w:r>
        <w:rPr>
          <w:rFonts w:hint="eastAsia"/>
          <w:color w:val="auto"/>
        </w:rPr>
        <w:t>本项目废水、废气、噪声现场验收监测工作委托浙江华维检测技术服务有限公司，以下为浙江华维检测技术服务有限公司对本项目监测工作做出的质量保证及质控措施。</w:t>
      </w:r>
    </w:p>
    <w:p>
      <w:pPr>
        <w:pStyle w:val="5"/>
        <w:rPr>
          <w:color w:val="auto"/>
        </w:rPr>
      </w:pPr>
      <w:bookmarkStart w:id="76" w:name="_Toc515273922"/>
      <w:bookmarkStart w:id="77" w:name="_Toc61959016"/>
      <w:r>
        <w:rPr>
          <w:color w:val="auto"/>
        </w:rPr>
        <w:t>8.1监测分析方法</w:t>
      </w:r>
      <w:bookmarkEnd w:id="76"/>
      <w:bookmarkEnd w:id="77"/>
    </w:p>
    <w:p>
      <w:pPr>
        <w:autoSpaceDE w:val="0"/>
        <w:autoSpaceDN w:val="0"/>
        <w:adjustRightInd w:val="0"/>
        <w:ind w:firstLine="480"/>
        <w:rPr>
          <w:rFonts w:cs="Times New Roman"/>
          <w:color w:val="auto"/>
        </w:rPr>
      </w:pPr>
      <w:r>
        <w:rPr>
          <w:rFonts w:cs="Times New Roman"/>
          <w:color w:val="auto"/>
        </w:rPr>
        <w:t>监测分析方法见表8-1。</w:t>
      </w:r>
    </w:p>
    <w:p>
      <w:pPr>
        <w:pStyle w:val="30"/>
        <w:spacing w:before="62" w:after="31"/>
        <w:rPr>
          <w:color w:val="auto"/>
        </w:rPr>
      </w:pPr>
      <w:r>
        <w:rPr>
          <w:color w:val="auto"/>
        </w:rPr>
        <w:t>表8-1分析监测方法一览表</w:t>
      </w:r>
    </w:p>
    <w:tbl>
      <w:tblPr>
        <w:tblStyle w:val="21"/>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2"/>
        <w:gridCol w:w="2344"/>
        <w:gridCol w:w="52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tcBorders>
              <w:top w:val="single" w:color="auto" w:sz="4" w:space="0"/>
            </w:tcBorders>
            <w:vAlign w:val="center"/>
          </w:tcPr>
          <w:p>
            <w:pPr>
              <w:pStyle w:val="32"/>
              <w:rPr>
                <w:b/>
                <w:bCs/>
                <w:color w:val="auto"/>
              </w:rPr>
            </w:pPr>
            <w:r>
              <w:rPr>
                <w:b/>
                <w:bCs/>
                <w:color w:val="auto"/>
              </w:rPr>
              <w:t>类型</w:t>
            </w:r>
          </w:p>
        </w:tc>
        <w:tc>
          <w:tcPr>
            <w:tcW w:w="2344" w:type="dxa"/>
            <w:tcBorders>
              <w:top w:val="single" w:color="auto" w:sz="4" w:space="0"/>
            </w:tcBorders>
            <w:vAlign w:val="center"/>
          </w:tcPr>
          <w:p>
            <w:pPr>
              <w:pStyle w:val="32"/>
              <w:rPr>
                <w:b/>
                <w:bCs/>
                <w:color w:val="auto"/>
              </w:rPr>
            </w:pPr>
            <w:r>
              <w:rPr>
                <w:b/>
                <w:bCs/>
                <w:color w:val="auto"/>
              </w:rPr>
              <w:t>监测项目</w:t>
            </w:r>
          </w:p>
        </w:tc>
        <w:tc>
          <w:tcPr>
            <w:tcW w:w="5248" w:type="dxa"/>
            <w:tcBorders>
              <w:top w:val="single" w:color="auto" w:sz="4" w:space="0"/>
            </w:tcBorders>
            <w:vAlign w:val="center"/>
          </w:tcPr>
          <w:p>
            <w:pPr>
              <w:pStyle w:val="32"/>
              <w:rPr>
                <w:b/>
                <w:bCs/>
                <w:color w:val="auto"/>
              </w:rPr>
            </w:pPr>
            <w:r>
              <w:rPr>
                <w:b/>
                <w:bCs/>
                <w:color w:val="auto"/>
              </w:rPr>
              <w:t>监测分析方法标准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restart"/>
            <w:vAlign w:val="center"/>
          </w:tcPr>
          <w:p>
            <w:pPr>
              <w:pStyle w:val="32"/>
              <w:rPr>
                <w:color w:val="auto"/>
              </w:rPr>
            </w:pPr>
            <w:r>
              <w:rPr>
                <w:color w:val="auto"/>
              </w:rPr>
              <w:t>废水</w:t>
            </w:r>
          </w:p>
        </w:tc>
        <w:tc>
          <w:tcPr>
            <w:tcW w:w="2344" w:type="dxa"/>
            <w:vAlign w:val="center"/>
          </w:tcPr>
          <w:p>
            <w:pPr>
              <w:pStyle w:val="32"/>
              <w:rPr>
                <w:color w:val="auto"/>
              </w:rPr>
            </w:pPr>
            <w:r>
              <w:rPr>
                <w:color w:val="auto"/>
              </w:rPr>
              <w:t>pH</w:t>
            </w:r>
          </w:p>
        </w:tc>
        <w:tc>
          <w:tcPr>
            <w:tcW w:w="5248" w:type="dxa"/>
            <w:vAlign w:val="center"/>
          </w:tcPr>
          <w:p>
            <w:pPr>
              <w:pStyle w:val="32"/>
              <w:rPr>
                <w:color w:val="auto"/>
              </w:rPr>
            </w:pPr>
            <w:r>
              <w:rPr>
                <w:color w:val="auto"/>
              </w:rPr>
              <w:t>水质pH值的测定玻璃电极法GB/T6920-1986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vAlign w:val="center"/>
          </w:tcPr>
          <w:p>
            <w:pPr>
              <w:pStyle w:val="32"/>
              <w:rPr>
                <w:color w:val="auto"/>
              </w:rPr>
            </w:pPr>
            <w:r>
              <w:rPr>
                <w:color w:val="auto"/>
              </w:rPr>
              <w:t>化学需氧量</w:t>
            </w:r>
          </w:p>
        </w:tc>
        <w:tc>
          <w:tcPr>
            <w:tcW w:w="5248" w:type="dxa"/>
            <w:vAlign w:val="center"/>
          </w:tcPr>
          <w:p>
            <w:pPr>
              <w:pStyle w:val="32"/>
              <w:rPr>
                <w:color w:val="auto"/>
              </w:rPr>
            </w:pPr>
            <w:r>
              <w:rPr>
                <w:color w:val="auto"/>
              </w:rPr>
              <w:t>水质化学需氧量的测定重铬酸盐法HJ828-2017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vAlign w:val="center"/>
          </w:tcPr>
          <w:p>
            <w:pPr>
              <w:pStyle w:val="32"/>
              <w:rPr>
                <w:color w:val="auto"/>
              </w:rPr>
            </w:pPr>
            <w:r>
              <w:rPr>
                <w:color w:val="auto"/>
              </w:rPr>
              <w:t>氨氮</w:t>
            </w:r>
          </w:p>
        </w:tc>
        <w:tc>
          <w:tcPr>
            <w:tcW w:w="5248" w:type="dxa"/>
            <w:vAlign w:val="center"/>
          </w:tcPr>
          <w:p>
            <w:pPr>
              <w:pStyle w:val="32"/>
              <w:rPr>
                <w:color w:val="auto"/>
              </w:rPr>
            </w:pPr>
            <w:r>
              <w:rPr>
                <w:color w:val="auto"/>
              </w:rPr>
              <w:t>水质氨氮的测定纳氏试剂分光光度法HJ535-2009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vAlign w:val="center"/>
          </w:tcPr>
          <w:p>
            <w:pPr>
              <w:pStyle w:val="32"/>
              <w:rPr>
                <w:color w:val="auto"/>
              </w:rPr>
            </w:pPr>
            <w:r>
              <w:rPr>
                <w:color w:val="auto"/>
              </w:rPr>
              <w:t>悬浮物</w:t>
            </w:r>
          </w:p>
        </w:tc>
        <w:tc>
          <w:tcPr>
            <w:tcW w:w="5248" w:type="dxa"/>
            <w:vAlign w:val="center"/>
          </w:tcPr>
          <w:p>
            <w:pPr>
              <w:pStyle w:val="32"/>
              <w:rPr>
                <w:color w:val="auto"/>
              </w:rPr>
            </w:pPr>
            <w:r>
              <w:rPr>
                <w:color w:val="auto"/>
              </w:rPr>
              <w:t>水质悬浮物的测定重量法GB/T11901-1989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vAlign w:val="center"/>
          </w:tcPr>
          <w:p>
            <w:pPr>
              <w:pStyle w:val="32"/>
              <w:rPr>
                <w:color w:val="auto"/>
              </w:rPr>
            </w:pPr>
            <w:r>
              <w:rPr>
                <w:rFonts w:hint="eastAsia"/>
                <w:color w:val="auto"/>
              </w:rPr>
              <w:t>五日生化需氧量</w:t>
            </w:r>
          </w:p>
        </w:tc>
        <w:tc>
          <w:tcPr>
            <w:tcW w:w="5248" w:type="dxa"/>
            <w:vAlign w:val="center"/>
          </w:tcPr>
          <w:p>
            <w:pPr>
              <w:pStyle w:val="32"/>
              <w:rPr>
                <w:color w:val="auto"/>
              </w:rPr>
            </w:pPr>
            <w:r>
              <w:rPr>
                <w:rFonts w:hint="eastAsia"/>
                <w:color w:val="auto"/>
              </w:rPr>
              <w:t>水质五日生化需氧量（</w:t>
            </w:r>
            <w:r>
              <w:rPr>
                <w:color w:val="auto"/>
              </w:rPr>
              <w:t>BOD</w:t>
            </w:r>
            <w:r>
              <w:rPr>
                <w:color w:val="auto"/>
                <w:vertAlign w:val="subscript"/>
              </w:rPr>
              <w:t>5</w:t>
            </w:r>
            <w:r>
              <w:rPr>
                <w:rFonts w:hint="eastAsia"/>
                <w:color w:val="auto"/>
              </w:rPr>
              <w:t>）的测定</w:t>
            </w:r>
          </w:p>
          <w:p>
            <w:pPr>
              <w:pStyle w:val="32"/>
              <w:rPr>
                <w:color w:val="auto"/>
              </w:rPr>
            </w:pPr>
            <w:r>
              <w:rPr>
                <w:rFonts w:hint="eastAsia"/>
                <w:color w:val="auto"/>
              </w:rPr>
              <w:t>稀释与接种法</w:t>
            </w:r>
            <w:r>
              <w:rPr>
                <w:color w:val="auto"/>
              </w:rPr>
              <w:t>HJ505-2009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vAlign w:val="center"/>
          </w:tcPr>
          <w:p>
            <w:pPr>
              <w:pStyle w:val="32"/>
              <w:rPr>
                <w:color w:val="auto"/>
              </w:rPr>
            </w:pPr>
            <w:r>
              <w:rPr>
                <w:rFonts w:hint="eastAsia"/>
                <w:color w:val="auto"/>
              </w:rPr>
              <w:t>动植物油</w:t>
            </w:r>
          </w:p>
        </w:tc>
        <w:tc>
          <w:tcPr>
            <w:tcW w:w="5248" w:type="dxa"/>
            <w:vAlign w:val="center"/>
          </w:tcPr>
          <w:p>
            <w:pPr>
              <w:pStyle w:val="32"/>
              <w:rPr>
                <w:color w:val="auto"/>
              </w:rPr>
            </w:pPr>
            <w:r>
              <w:rPr>
                <w:rFonts w:hint="eastAsia"/>
                <w:color w:val="auto"/>
              </w:rPr>
              <w:t xml:space="preserve">水质 石油类和动植物油的测定 红外分光光度法 </w:t>
            </w:r>
          </w:p>
          <w:p>
            <w:pPr>
              <w:pStyle w:val="32"/>
              <w:rPr>
                <w:color w:val="auto"/>
              </w:rPr>
            </w:pPr>
            <w:r>
              <w:rPr>
                <w:rFonts w:hint="eastAsia"/>
                <w:color w:val="auto"/>
              </w:rPr>
              <w:t>HJ637-2018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restart"/>
            <w:vAlign w:val="center"/>
          </w:tcPr>
          <w:p>
            <w:pPr>
              <w:pStyle w:val="32"/>
              <w:rPr>
                <w:color w:val="auto"/>
              </w:rPr>
            </w:pPr>
            <w:r>
              <w:rPr>
                <w:color w:val="auto"/>
              </w:rPr>
              <w:t>废气</w:t>
            </w:r>
          </w:p>
        </w:tc>
        <w:tc>
          <w:tcPr>
            <w:tcW w:w="2344" w:type="dxa"/>
            <w:tcBorders>
              <w:bottom w:val="single" w:color="auto" w:sz="4" w:space="0"/>
            </w:tcBorders>
            <w:vAlign w:val="center"/>
          </w:tcPr>
          <w:p>
            <w:pPr>
              <w:pStyle w:val="32"/>
              <w:rPr>
                <w:color w:val="auto"/>
              </w:rPr>
            </w:pPr>
            <w:r>
              <w:rPr>
                <w:rFonts w:hint="eastAsia"/>
                <w:color w:val="auto"/>
              </w:rPr>
              <w:t>总悬浮颗粒物</w:t>
            </w:r>
          </w:p>
        </w:tc>
        <w:tc>
          <w:tcPr>
            <w:tcW w:w="5248" w:type="dxa"/>
            <w:vAlign w:val="center"/>
          </w:tcPr>
          <w:p>
            <w:pPr>
              <w:pStyle w:val="32"/>
              <w:rPr>
                <w:color w:val="auto"/>
              </w:rPr>
            </w:pPr>
            <w:r>
              <w:rPr>
                <w:rFonts w:hint="eastAsia"/>
                <w:color w:val="auto"/>
              </w:rPr>
              <w:t>环境空气总悬浮颗粒物的测定</w:t>
            </w:r>
          </w:p>
          <w:p>
            <w:pPr>
              <w:pStyle w:val="32"/>
              <w:rPr>
                <w:color w:val="auto"/>
              </w:rPr>
            </w:pPr>
            <w:r>
              <w:rPr>
                <w:rFonts w:hint="eastAsia"/>
                <w:color w:val="auto"/>
              </w:rPr>
              <w:t>重量法GB/T15432-1995及其修改单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tcBorders>
              <w:bottom w:val="single" w:color="auto" w:sz="4" w:space="0"/>
            </w:tcBorders>
            <w:vAlign w:val="center"/>
          </w:tcPr>
          <w:p>
            <w:pPr>
              <w:pStyle w:val="32"/>
              <w:rPr>
                <w:color w:val="auto"/>
              </w:rPr>
            </w:pPr>
            <w:r>
              <w:rPr>
                <w:rFonts w:hint="eastAsia"/>
                <w:color w:val="auto"/>
              </w:rPr>
              <w:t>颗粒物</w:t>
            </w:r>
          </w:p>
        </w:tc>
        <w:tc>
          <w:tcPr>
            <w:tcW w:w="5248" w:type="dxa"/>
            <w:vAlign w:val="center"/>
          </w:tcPr>
          <w:p>
            <w:pPr>
              <w:pStyle w:val="32"/>
              <w:rPr>
                <w:color w:val="auto"/>
              </w:rPr>
            </w:pPr>
            <w:r>
              <w:rPr>
                <w:rFonts w:hint="eastAsia"/>
                <w:color w:val="auto"/>
              </w:rPr>
              <w:t>固定污染源排气中颗粒物测定与气态污染物采样方法GB/T16157-1996及其修改单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pStyle w:val="32"/>
              <w:rPr>
                <w:color w:val="auto"/>
              </w:rPr>
            </w:pPr>
          </w:p>
        </w:tc>
        <w:tc>
          <w:tcPr>
            <w:tcW w:w="2344" w:type="dxa"/>
            <w:tcBorders>
              <w:bottom w:val="single" w:color="auto" w:sz="4" w:space="0"/>
            </w:tcBorders>
            <w:vAlign w:val="center"/>
          </w:tcPr>
          <w:p>
            <w:pPr>
              <w:pStyle w:val="32"/>
              <w:rPr>
                <w:color w:val="auto"/>
              </w:rPr>
            </w:pPr>
            <w:r>
              <w:rPr>
                <w:rFonts w:hint="eastAsia"/>
                <w:color w:val="auto"/>
              </w:rPr>
              <w:t>低浓度颗粒物</w:t>
            </w:r>
          </w:p>
        </w:tc>
        <w:tc>
          <w:tcPr>
            <w:tcW w:w="5248" w:type="dxa"/>
            <w:vAlign w:val="center"/>
          </w:tcPr>
          <w:p>
            <w:pPr>
              <w:pStyle w:val="32"/>
              <w:rPr>
                <w:color w:val="auto"/>
              </w:rPr>
            </w:pPr>
            <w:r>
              <w:rPr>
                <w:rFonts w:hint="eastAsia"/>
                <w:color w:val="auto"/>
              </w:rPr>
              <w:t>固定污染源废气 低浓度颗粒物的测定 重量法</w:t>
            </w:r>
            <w:r>
              <w:rPr>
                <w:color w:val="auto"/>
              </w:rPr>
              <w:t>HJ 836-2017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Align w:val="center"/>
          </w:tcPr>
          <w:p>
            <w:pPr>
              <w:pStyle w:val="32"/>
              <w:rPr>
                <w:color w:val="auto"/>
              </w:rPr>
            </w:pPr>
            <w:r>
              <w:rPr>
                <w:color w:val="auto"/>
              </w:rPr>
              <w:t>噪声</w:t>
            </w:r>
          </w:p>
        </w:tc>
        <w:tc>
          <w:tcPr>
            <w:tcW w:w="2344" w:type="dxa"/>
            <w:vAlign w:val="center"/>
          </w:tcPr>
          <w:p>
            <w:pPr>
              <w:pStyle w:val="32"/>
              <w:rPr>
                <w:color w:val="auto"/>
              </w:rPr>
            </w:pPr>
            <w:r>
              <w:rPr>
                <w:rFonts w:hint="eastAsia"/>
                <w:color w:val="auto"/>
              </w:rPr>
              <w:t>工业企业</w:t>
            </w:r>
            <w:r>
              <w:rPr>
                <w:color w:val="auto"/>
              </w:rPr>
              <w:t>厂界</w:t>
            </w:r>
            <w:r>
              <w:rPr>
                <w:rFonts w:hint="eastAsia"/>
                <w:color w:val="auto"/>
              </w:rPr>
              <w:t>环境</w:t>
            </w:r>
            <w:r>
              <w:rPr>
                <w:color w:val="auto"/>
              </w:rPr>
              <w:t>噪声</w:t>
            </w:r>
          </w:p>
        </w:tc>
        <w:tc>
          <w:tcPr>
            <w:tcW w:w="5248" w:type="dxa"/>
            <w:vAlign w:val="center"/>
          </w:tcPr>
          <w:p>
            <w:pPr>
              <w:pStyle w:val="32"/>
              <w:rPr>
                <w:color w:val="auto"/>
              </w:rPr>
            </w:pPr>
            <w:r>
              <w:rPr>
                <w:rFonts w:hint="eastAsia"/>
                <w:color w:val="auto"/>
              </w:rPr>
              <w:t>工业企业厂界环境噪声排放标准GB12348-2008</w:t>
            </w:r>
          </w:p>
        </w:tc>
      </w:tr>
    </w:tbl>
    <w:p>
      <w:pPr>
        <w:pStyle w:val="5"/>
        <w:rPr>
          <w:color w:val="auto"/>
        </w:rPr>
      </w:pPr>
      <w:bookmarkStart w:id="78" w:name="_Toc515273923"/>
      <w:bookmarkStart w:id="79" w:name="_Toc61959017"/>
      <w:r>
        <w:rPr>
          <w:color w:val="auto"/>
        </w:rPr>
        <w:t>8.2监测仪器</w:t>
      </w:r>
      <w:bookmarkEnd w:id="78"/>
      <w:bookmarkEnd w:id="79"/>
    </w:p>
    <w:p>
      <w:pPr>
        <w:ind w:firstLine="480"/>
        <w:rPr>
          <w:rFonts w:cs="Times New Roman"/>
          <w:color w:val="auto"/>
        </w:rPr>
      </w:pPr>
      <w:r>
        <w:rPr>
          <w:rFonts w:cs="Times New Roman"/>
          <w:color w:val="auto"/>
        </w:rPr>
        <w:t>监测仪器见表8-2。</w:t>
      </w:r>
    </w:p>
    <w:p>
      <w:pPr>
        <w:pStyle w:val="30"/>
        <w:spacing w:before="62" w:after="31"/>
        <w:rPr>
          <w:color w:val="auto"/>
        </w:rPr>
      </w:pPr>
      <w:r>
        <w:rPr>
          <w:color w:val="auto"/>
        </w:rPr>
        <w:t>表8-2分析监测方法一览表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476"/>
        <w:gridCol w:w="2809"/>
        <w:gridCol w:w="123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12" w:type="pct"/>
            <w:vAlign w:val="center"/>
          </w:tcPr>
          <w:p>
            <w:pPr>
              <w:pStyle w:val="42"/>
              <w:rPr>
                <w:b/>
                <w:bCs/>
                <w:color w:val="auto"/>
              </w:rPr>
            </w:pPr>
            <w:r>
              <w:rPr>
                <w:b/>
                <w:bCs/>
                <w:color w:val="auto"/>
              </w:rPr>
              <w:t>类型</w:t>
            </w:r>
          </w:p>
        </w:tc>
        <w:tc>
          <w:tcPr>
            <w:tcW w:w="1419" w:type="pct"/>
            <w:vAlign w:val="center"/>
          </w:tcPr>
          <w:p>
            <w:pPr>
              <w:pStyle w:val="42"/>
              <w:rPr>
                <w:b/>
                <w:bCs/>
                <w:color w:val="auto"/>
              </w:rPr>
            </w:pPr>
            <w:r>
              <w:rPr>
                <w:b/>
                <w:bCs/>
                <w:color w:val="auto"/>
              </w:rPr>
              <w:t>监测项目</w:t>
            </w:r>
          </w:p>
        </w:tc>
        <w:tc>
          <w:tcPr>
            <w:tcW w:w="1610" w:type="pct"/>
            <w:vAlign w:val="center"/>
          </w:tcPr>
          <w:p>
            <w:pPr>
              <w:pStyle w:val="42"/>
              <w:rPr>
                <w:b/>
                <w:bCs/>
                <w:color w:val="auto"/>
              </w:rPr>
            </w:pPr>
            <w:r>
              <w:rPr>
                <w:b/>
                <w:bCs/>
                <w:color w:val="auto"/>
              </w:rPr>
              <w:t>仪器</w:t>
            </w:r>
          </w:p>
        </w:tc>
        <w:tc>
          <w:tcPr>
            <w:tcW w:w="709" w:type="pct"/>
            <w:vAlign w:val="center"/>
          </w:tcPr>
          <w:p>
            <w:pPr>
              <w:pStyle w:val="42"/>
              <w:rPr>
                <w:b/>
                <w:bCs/>
                <w:color w:val="auto"/>
              </w:rPr>
            </w:pPr>
            <w:r>
              <w:rPr>
                <w:rFonts w:hint="eastAsia"/>
                <w:b/>
                <w:bCs/>
                <w:color w:val="auto"/>
              </w:rPr>
              <w:t>编号</w:t>
            </w:r>
          </w:p>
        </w:tc>
        <w:tc>
          <w:tcPr>
            <w:tcW w:w="848" w:type="pct"/>
            <w:vAlign w:val="center"/>
          </w:tcPr>
          <w:p>
            <w:pPr>
              <w:pStyle w:val="42"/>
              <w:rPr>
                <w:b/>
                <w:bCs/>
                <w:color w:val="auto"/>
              </w:rPr>
            </w:pPr>
            <w:r>
              <w:rPr>
                <w:b/>
                <w:bCs/>
                <w:color w:val="auto"/>
              </w:rPr>
              <w:t>自校准或检定校准或计量检定情况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restart"/>
            <w:vAlign w:val="center"/>
          </w:tcPr>
          <w:p>
            <w:pPr>
              <w:pStyle w:val="42"/>
              <w:rPr>
                <w:color w:val="auto"/>
              </w:rPr>
            </w:pPr>
            <w:r>
              <w:rPr>
                <w:color w:val="auto"/>
              </w:rPr>
              <w:t>废水</w:t>
            </w:r>
          </w:p>
        </w:tc>
        <w:tc>
          <w:tcPr>
            <w:tcW w:w="1419" w:type="pct"/>
            <w:vAlign w:val="center"/>
          </w:tcPr>
          <w:p>
            <w:pPr>
              <w:pStyle w:val="42"/>
              <w:rPr>
                <w:color w:val="auto"/>
              </w:rPr>
            </w:pPr>
            <w:r>
              <w:rPr>
                <w:color w:val="auto"/>
              </w:rPr>
              <w:t>pH</w:t>
            </w:r>
          </w:p>
        </w:tc>
        <w:tc>
          <w:tcPr>
            <w:tcW w:w="1610" w:type="pct"/>
            <w:vAlign w:val="center"/>
          </w:tcPr>
          <w:p>
            <w:pPr>
              <w:pStyle w:val="42"/>
              <w:rPr>
                <w:color w:val="auto"/>
              </w:rPr>
            </w:pPr>
            <w:r>
              <w:rPr>
                <w:rFonts w:hint="eastAsia"/>
                <w:color w:val="auto"/>
              </w:rPr>
              <w:t>PHS-</w:t>
            </w:r>
            <w:r>
              <w:rPr>
                <w:color w:val="auto"/>
              </w:rPr>
              <w:t>3</w:t>
            </w:r>
            <w:r>
              <w:rPr>
                <w:rFonts w:hint="eastAsia"/>
                <w:color w:val="auto"/>
              </w:rPr>
              <w:t>C PH计</w:t>
            </w:r>
          </w:p>
        </w:tc>
        <w:tc>
          <w:tcPr>
            <w:tcW w:w="709" w:type="pct"/>
            <w:vAlign w:val="center"/>
          </w:tcPr>
          <w:p>
            <w:pPr>
              <w:pStyle w:val="42"/>
              <w:rPr>
                <w:color w:val="auto"/>
              </w:rPr>
            </w:pPr>
            <w:r>
              <w:rPr>
                <w:rFonts w:hint="eastAsia"/>
                <w:color w:val="auto"/>
              </w:rPr>
              <w:t>HWT/SB-1</w:t>
            </w:r>
          </w:p>
        </w:tc>
        <w:tc>
          <w:tcPr>
            <w:tcW w:w="848" w:type="pct"/>
            <w:vAlign w:val="center"/>
          </w:tcPr>
          <w:p>
            <w:pPr>
              <w:pStyle w:val="42"/>
              <w:rPr>
                <w:color w:val="auto"/>
              </w:rPr>
            </w:pPr>
            <w:r>
              <w:rPr>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color w:val="auto"/>
              </w:rPr>
              <w:t>化学需氧量</w:t>
            </w:r>
          </w:p>
        </w:tc>
        <w:tc>
          <w:tcPr>
            <w:tcW w:w="1610" w:type="pct"/>
            <w:vAlign w:val="center"/>
          </w:tcPr>
          <w:p>
            <w:pPr>
              <w:pStyle w:val="42"/>
              <w:rPr>
                <w:color w:val="auto"/>
              </w:rPr>
            </w:pPr>
            <w:r>
              <w:rPr>
                <w:rFonts w:hint="eastAsia"/>
                <w:color w:val="auto"/>
              </w:rPr>
              <w:t>具塞滴定管25ml</w:t>
            </w:r>
          </w:p>
        </w:tc>
        <w:tc>
          <w:tcPr>
            <w:tcW w:w="709" w:type="pct"/>
            <w:vAlign w:val="center"/>
          </w:tcPr>
          <w:p>
            <w:pPr>
              <w:pStyle w:val="42"/>
              <w:rPr>
                <w:color w:val="auto"/>
              </w:rPr>
            </w:pPr>
            <w:r>
              <w:rPr>
                <w:rFonts w:hint="eastAsia"/>
                <w:color w:val="auto"/>
              </w:rPr>
              <w:t>HWT/QM-26.2</w:t>
            </w:r>
          </w:p>
        </w:tc>
        <w:tc>
          <w:tcPr>
            <w:tcW w:w="848" w:type="pct"/>
            <w:vAlign w:val="center"/>
          </w:tcPr>
          <w:p>
            <w:pPr>
              <w:pStyle w:val="42"/>
              <w:rPr>
                <w:color w:val="auto"/>
              </w:rPr>
            </w:pPr>
            <w:r>
              <w:rPr>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color w:val="auto"/>
              </w:rPr>
              <w:t>氨氮</w:t>
            </w:r>
          </w:p>
        </w:tc>
        <w:tc>
          <w:tcPr>
            <w:tcW w:w="1610" w:type="pct"/>
            <w:vAlign w:val="center"/>
          </w:tcPr>
          <w:p>
            <w:pPr>
              <w:pStyle w:val="32"/>
              <w:rPr>
                <w:color w:val="auto"/>
              </w:rPr>
            </w:pPr>
            <w:r>
              <w:rPr>
                <w:rFonts w:hint="eastAsia"/>
                <w:color w:val="auto"/>
              </w:rPr>
              <w:t>752N 紫外-可见分光光度计</w:t>
            </w:r>
          </w:p>
        </w:tc>
        <w:tc>
          <w:tcPr>
            <w:tcW w:w="709" w:type="pct"/>
            <w:vAlign w:val="center"/>
          </w:tcPr>
          <w:p>
            <w:pPr>
              <w:pStyle w:val="42"/>
              <w:rPr>
                <w:color w:val="auto"/>
              </w:rPr>
            </w:pPr>
            <w:r>
              <w:rPr>
                <w:rFonts w:hint="eastAsia"/>
                <w:color w:val="auto"/>
              </w:rPr>
              <w:t>HWT/SB-7</w:t>
            </w:r>
          </w:p>
        </w:tc>
        <w:tc>
          <w:tcPr>
            <w:tcW w:w="848" w:type="pct"/>
            <w:vAlign w:val="center"/>
          </w:tcPr>
          <w:p>
            <w:pPr>
              <w:pStyle w:val="42"/>
              <w:rPr>
                <w:color w:val="auto"/>
              </w:rPr>
            </w:pPr>
            <w:r>
              <w:rPr>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color w:val="auto"/>
              </w:rPr>
              <w:t>悬浮物</w:t>
            </w:r>
          </w:p>
        </w:tc>
        <w:tc>
          <w:tcPr>
            <w:tcW w:w="1610" w:type="pct"/>
            <w:tcBorders>
              <w:bottom w:val="single" w:color="auto" w:sz="4" w:space="0"/>
            </w:tcBorders>
            <w:vAlign w:val="center"/>
          </w:tcPr>
          <w:p>
            <w:pPr>
              <w:pStyle w:val="32"/>
              <w:rPr>
                <w:color w:val="auto"/>
              </w:rPr>
            </w:pPr>
            <w:r>
              <w:rPr>
                <w:rFonts w:hint="eastAsia"/>
                <w:color w:val="auto"/>
              </w:rPr>
              <w:t>FA2004 电子天平</w:t>
            </w:r>
          </w:p>
        </w:tc>
        <w:tc>
          <w:tcPr>
            <w:tcW w:w="709" w:type="pct"/>
            <w:tcBorders>
              <w:bottom w:val="single" w:color="auto" w:sz="4" w:space="0"/>
            </w:tcBorders>
            <w:vAlign w:val="center"/>
          </w:tcPr>
          <w:p>
            <w:pPr>
              <w:pStyle w:val="42"/>
              <w:rPr>
                <w:color w:val="auto"/>
              </w:rPr>
            </w:pPr>
            <w:r>
              <w:rPr>
                <w:rFonts w:hint="eastAsia"/>
                <w:color w:val="auto"/>
              </w:rPr>
              <w:t>HWT/SB-4</w:t>
            </w:r>
          </w:p>
        </w:tc>
        <w:tc>
          <w:tcPr>
            <w:tcW w:w="848" w:type="pct"/>
            <w:tcBorders>
              <w:bottom w:val="single" w:color="auto" w:sz="4" w:space="0"/>
            </w:tcBorders>
            <w:vAlign w:val="center"/>
          </w:tcPr>
          <w:p>
            <w:pPr>
              <w:pStyle w:val="42"/>
              <w:rPr>
                <w:color w:val="auto"/>
              </w:rPr>
            </w:pPr>
            <w:r>
              <w:rPr>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rFonts w:hint="eastAsia"/>
                <w:color w:val="auto"/>
              </w:rPr>
              <w:t>五日生化需氧量</w:t>
            </w:r>
          </w:p>
        </w:tc>
        <w:tc>
          <w:tcPr>
            <w:tcW w:w="1610" w:type="pct"/>
            <w:tcBorders>
              <w:bottom w:val="single" w:color="auto" w:sz="4" w:space="0"/>
            </w:tcBorders>
            <w:vAlign w:val="center"/>
          </w:tcPr>
          <w:p>
            <w:pPr>
              <w:pStyle w:val="42"/>
              <w:rPr>
                <w:color w:val="auto"/>
              </w:rPr>
            </w:pPr>
            <w:r>
              <w:rPr>
                <w:rFonts w:hint="eastAsia"/>
                <w:color w:val="auto"/>
              </w:rPr>
              <w:t>LRH-150生化培养箱</w:t>
            </w:r>
          </w:p>
        </w:tc>
        <w:tc>
          <w:tcPr>
            <w:tcW w:w="709" w:type="pct"/>
            <w:tcBorders>
              <w:bottom w:val="single" w:color="auto" w:sz="4" w:space="0"/>
            </w:tcBorders>
            <w:vAlign w:val="center"/>
          </w:tcPr>
          <w:p>
            <w:pPr>
              <w:pStyle w:val="42"/>
              <w:rPr>
                <w:color w:val="auto"/>
              </w:rPr>
            </w:pPr>
            <w:r>
              <w:rPr>
                <w:rFonts w:hint="eastAsia"/>
                <w:color w:val="auto"/>
              </w:rPr>
              <w:t>HWT/SB-19</w:t>
            </w:r>
          </w:p>
        </w:tc>
        <w:tc>
          <w:tcPr>
            <w:tcW w:w="848" w:type="pct"/>
            <w:tcBorders>
              <w:bottom w:val="single" w:color="auto" w:sz="4" w:space="0"/>
            </w:tcBorders>
            <w:vAlign w:val="center"/>
          </w:tcPr>
          <w:p>
            <w:pPr>
              <w:pStyle w:val="42"/>
              <w:rPr>
                <w:color w:val="auto"/>
              </w:rPr>
            </w:pPr>
            <w:r>
              <w:rPr>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rFonts w:hint="eastAsia"/>
                <w:color w:val="auto"/>
              </w:rPr>
              <w:t>动植物油</w:t>
            </w:r>
          </w:p>
        </w:tc>
        <w:tc>
          <w:tcPr>
            <w:tcW w:w="1610" w:type="pct"/>
            <w:tcBorders>
              <w:top w:val="single" w:color="auto" w:sz="4" w:space="0"/>
            </w:tcBorders>
            <w:vAlign w:val="center"/>
          </w:tcPr>
          <w:p>
            <w:pPr>
              <w:pStyle w:val="42"/>
              <w:rPr>
                <w:color w:val="auto"/>
              </w:rPr>
            </w:pPr>
            <w:r>
              <w:rPr>
                <w:rFonts w:hint="eastAsia"/>
                <w:color w:val="auto"/>
              </w:rPr>
              <w:t>JC-OIL-6 红外分光测油仪</w:t>
            </w:r>
          </w:p>
        </w:tc>
        <w:tc>
          <w:tcPr>
            <w:tcW w:w="709" w:type="pct"/>
            <w:tcBorders>
              <w:top w:val="single" w:color="auto" w:sz="4" w:space="0"/>
            </w:tcBorders>
            <w:vAlign w:val="center"/>
          </w:tcPr>
          <w:p>
            <w:pPr>
              <w:pStyle w:val="42"/>
              <w:rPr>
                <w:color w:val="auto"/>
              </w:rPr>
            </w:pPr>
            <w:r>
              <w:rPr>
                <w:rFonts w:hint="eastAsia"/>
                <w:color w:val="auto"/>
              </w:rPr>
              <w:t>HWT/SB-15</w:t>
            </w:r>
          </w:p>
        </w:tc>
        <w:tc>
          <w:tcPr>
            <w:tcW w:w="848" w:type="pct"/>
            <w:tcBorders>
              <w:top w:val="single" w:color="auto" w:sz="4" w:space="0"/>
            </w:tcBorders>
            <w:vAlign w:val="center"/>
          </w:tcPr>
          <w:p>
            <w:pPr>
              <w:pStyle w:val="42"/>
              <w:rPr>
                <w:color w:val="auto"/>
              </w:rPr>
            </w:pPr>
            <w:r>
              <w:rPr>
                <w:rFonts w:hint="eastAsia"/>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12" w:type="pct"/>
            <w:vMerge w:val="restart"/>
            <w:vAlign w:val="center"/>
          </w:tcPr>
          <w:p>
            <w:pPr>
              <w:pStyle w:val="42"/>
              <w:rPr>
                <w:color w:val="auto"/>
              </w:rPr>
            </w:pPr>
            <w:r>
              <w:rPr>
                <w:rFonts w:hint="eastAsia"/>
                <w:color w:val="auto"/>
              </w:rPr>
              <w:t>废气</w:t>
            </w:r>
          </w:p>
        </w:tc>
        <w:tc>
          <w:tcPr>
            <w:tcW w:w="1419" w:type="pct"/>
            <w:vAlign w:val="center"/>
          </w:tcPr>
          <w:p>
            <w:pPr>
              <w:pStyle w:val="42"/>
              <w:rPr>
                <w:color w:val="auto"/>
              </w:rPr>
            </w:pPr>
            <w:r>
              <w:rPr>
                <w:rFonts w:hint="eastAsia"/>
                <w:color w:val="auto"/>
              </w:rPr>
              <w:t>总悬浮颗粒物</w:t>
            </w:r>
          </w:p>
        </w:tc>
        <w:tc>
          <w:tcPr>
            <w:tcW w:w="1610" w:type="pct"/>
            <w:vAlign w:val="center"/>
          </w:tcPr>
          <w:p>
            <w:pPr>
              <w:pStyle w:val="42"/>
              <w:rPr>
                <w:color w:val="auto"/>
              </w:rPr>
            </w:pPr>
            <w:r>
              <w:rPr>
                <w:rFonts w:hint="eastAsia"/>
                <w:color w:val="auto"/>
              </w:rPr>
              <w:t>FA2004 电子天平</w:t>
            </w:r>
          </w:p>
        </w:tc>
        <w:tc>
          <w:tcPr>
            <w:tcW w:w="709" w:type="pct"/>
            <w:vAlign w:val="center"/>
          </w:tcPr>
          <w:p>
            <w:pPr>
              <w:pStyle w:val="42"/>
              <w:rPr>
                <w:color w:val="auto"/>
              </w:rPr>
            </w:pPr>
            <w:r>
              <w:rPr>
                <w:rFonts w:hint="eastAsia"/>
                <w:color w:val="auto"/>
              </w:rPr>
              <w:t>HWT/SB-4</w:t>
            </w:r>
          </w:p>
        </w:tc>
        <w:tc>
          <w:tcPr>
            <w:tcW w:w="848" w:type="pct"/>
            <w:vAlign w:val="center"/>
          </w:tcPr>
          <w:p>
            <w:pPr>
              <w:pStyle w:val="42"/>
              <w:rPr>
                <w:color w:val="auto"/>
              </w:rPr>
            </w:pPr>
            <w:r>
              <w:rPr>
                <w:rFonts w:hint="eastAsia"/>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rFonts w:hint="eastAsia"/>
                <w:color w:val="auto"/>
              </w:rPr>
              <w:t>颗粒物</w:t>
            </w:r>
          </w:p>
        </w:tc>
        <w:tc>
          <w:tcPr>
            <w:tcW w:w="1610" w:type="pct"/>
            <w:vAlign w:val="center"/>
          </w:tcPr>
          <w:p>
            <w:pPr>
              <w:pStyle w:val="42"/>
              <w:rPr>
                <w:color w:val="auto"/>
              </w:rPr>
            </w:pPr>
            <w:r>
              <w:rPr>
                <w:color w:val="auto"/>
              </w:rPr>
              <w:t xml:space="preserve">FA2004 </w:t>
            </w:r>
            <w:r>
              <w:rPr>
                <w:rFonts w:hint="eastAsia"/>
                <w:color w:val="auto"/>
              </w:rPr>
              <w:t>电子天平</w:t>
            </w:r>
          </w:p>
        </w:tc>
        <w:tc>
          <w:tcPr>
            <w:tcW w:w="709" w:type="pct"/>
            <w:vAlign w:val="center"/>
          </w:tcPr>
          <w:p>
            <w:pPr>
              <w:pStyle w:val="42"/>
              <w:rPr>
                <w:color w:val="auto"/>
              </w:rPr>
            </w:pPr>
            <w:r>
              <w:rPr>
                <w:color w:val="auto"/>
              </w:rPr>
              <w:t>HWT/SB-4</w:t>
            </w:r>
          </w:p>
        </w:tc>
        <w:tc>
          <w:tcPr>
            <w:tcW w:w="1479" w:type="dxa"/>
            <w:vAlign w:val="center"/>
          </w:tcPr>
          <w:p>
            <w:pPr>
              <w:pStyle w:val="42"/>
              <w:rPr>
                <w:color w:val="auto"/>
              </w:rPr>
            </w:pPr>
            <w:r>
              <w:rPr>
                <w:rFonts w:hint="eastAsia"/>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Merge w:val="continue"/>
            <w:vAlign w:val="center"/>
          </w:tcPr>
          <w:p>
            <w:pPr>
              <w:pStyle w:val="42"/>
              <w:rPr>
                <w:color w:val="auto"/>
              </w:rPr>
            </w:pPr>
          </w:p>
        </w:tc>
        <w:tc>
          <w:tcPr>
            <w:tcW w:w="1419" w:type="pct"/>
            <w:vAlign w:val="center"/>
          </w:tcPr>
          <w:p>
            <w:pPr>
              <w:pStyle w:val="42"/>
              <w:rPr>
                <w:color w:val="auto"/>
              </w:rPr>
            </w:pPr>
            <w:r>
              <w:rPr>
                <w:rFonts w:hint="eastAsia"/>
                <w:color w:val="auto"/>
              </w:rPr>
              <w:t>低浓度颗粒物</w:t>
            </w:r>
          </w:p>
        </w:tc>
        <w:tc>
          <w:tcPr>
            <w:tcW w:w="1610" w:type="pct"/>
            <w:vAlign w:val="center"/>
          </w:tcPr>
          <w:p>
            <w:pPr>
              <w:pStyle w:val="42"/>
              <w:rPr>
                <w:color w:val="auto"/>
              </w:rPr>
            </w:pPr>
            <w:r>
              <w:rPr>
                <w:color w:val="auto"/>
              </w:rPr>
              <w:t xml:space="preserve">MS105DU </w:t>
            </w:r>
            <w:r>
              <w:rPr>
                <w:rFonts w:hint="eastAsia"/>
                <w:color w:val="auto"/>
              </w:rPr>
              <w:t>电子天平</w:t>
            </w:r>
          </w:p>
        </w:tc>
        <w:tc>
          <w:tcPr>
            <w:tcW w:w="709" w:type="pct"/>
            <w:vAlign w:val="center"/>
          </w:tcPr>
          <w:p>
            <w:pPr>
              <w:pStyle w:val="42"/>
              <w:rPr>
                <w:color w:val="auto"/>
              </w:rPr>
            </w:pPr>
            <w:r>
              <w:rPr>
                <w:color w:val="auto"/>
              </w:rPr>
              <w:t>HWT/SB-2</w:t>
            </w:r>
          </w:p>
        </w:tc>
        <w:tc>
          <w:tcPr>
            <w:tcW w:w="1479" w:type="dxa"/>
            <w:vAlign w:val="center"/>
          </w:tcPr>
          <w:p>
            <w:pPr>
              <w:pStyle w:val="42"/>
              <w:rPr>
                <w:color w:val="auto"/>
              </w:rPr>
            </w:pPr>
            <w:r>
              <w:rPr>
                <w:rFonts w:hint="eastAsia"/>
                <w:color w:val="auto"/>
              </w:rPr>
              <w:t>已检定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2" w:type="pct"/>
            <w:vAlign w:val="center"/>
          </w:tcPr>
          <w:p>
            <w:pPr>
              <w:pStyle w:val="42"/>
              <w:rPr>
                <w:color w:val="auto"/>
              </w:rPr>
            </w:pPr>
            <w:r>
              <w:rPr>
                <w:color w:val="auto"/>
              </w:rPr>
              <w:t>噪声</w:t>
            </w:r>
          </w:p>
        </w:tc>
        <w:tc>
          <w:tcPr>
            <w:tcW w:w="1419" w:type="pct"/>
            <w:vAlign w:val="center"/>
          </w:tcPr>
          <w:p>
            <w:pPr>
              <w:pStyle w:val="42"/>
              <w:rPr>
                <w:color w:val="auto"/>
              </w:rPr>
            </w:pPr>
            <w:r>
              <w:rPr>
                <w:rFonts w:hint="eastAsia"/>
                <w:color w:val="auto"/>
              </w:rPr>
              <w:t>工业企业</w:t>
            </w:r>
            <w:r>
              <w:rPr>
                <w:color w:val="auto"/>
              </w:rPr>
              <w:t>厂界噪声</w:t>
            </w:r>
          </w:p>
        </w:tc>
        <w:tc>
          <w:tcPr>
            <w:tcW w:w="1610" w:type="pct"/>
            <w:vAlign w:val="center"/>
          </w:tcPr>
          <w:p>
            <w:pPr>
              <w:pStyle w:val="42"/>
              <w:rPr>
                <w:color w:val="auto"/>
              </w:rPr>
            </w:pPr>
            <w:r>
              <w:rPr>
                <w:rFonts w:hint="eastAsia"/>
                <w:color w:val="auto"/>
              </w:rPr>
              <w:t>AWA6228+ 多功能声级计</w:t>
            </w:r>
          </w:p>
        </w:tc>
        <w:tc>
          <w:tcPr>
            <w:tcW w:w="709" w:type="pct"/>
            <w:vAlign w:val="center"/>
          </w:tcPr>
          <w:p>
            <w:pPr>
              <w:pStyle w:val="42"/>
              <w:rPr>
                <w:color w:val="auto"/>
              </w:rPr>
            </w:pPr>
            <w:r>
              <w:rPr>
                <w:rFonts w:hint="eastAsia"/>
                <w:color w:val="auto"/>
              </w:rPr>
              <w:t>HWT/SB-63</w:t>
            </w:r>
          </w:p>
        </w:tc>
        <w:tc>
          <w:tcPr>
            <w:tcW w:w="848" w:type="pct"/>
            <w:vAlign w:val="center"/>
          </w:tcPr>
          <w:p>
            <w:pPr>
              <w:pStyle w:val="42"/>
              <w:rPr>
                <w:color w:val="auto"/>
              </w:rPr>
            </w:pPr>
            <w:r>
              <w:rPr>
                <w:color w:val="auto"/>
              </w:rPr>
              <w:t>已检定</w:t>
            </w:r>
          </w:p>
        </w:tc>
      </w:tr>
    </w:tbl>
    <w:p>
      <w:pPr>
        <w:pStyle w:val="5"/>
        <w:rPr>
          <w:color w:val="auto"/>
        </w:rPr>
      </w:pPr>
      <w:bookmarkStart w:id="80" w:name="_Toc61959018"/>
      <w:r>
        <w:rPr>
          <w:color w:val="auto"/>
        </w:rPr>
        <w:t>8.</w:t>
      </w:r>
      <w:r>
        <w:rPr>
          <w:rFonts w:hint="eastAsia"/>
          <w:color w:val="auto"/>
        </w:rPr>
        <w:t>3</w:t>
      </w:r>
      <w:r>
        <w:rPr>
          <w:color w:val="auto"/>
        </w:rPr>
        <w:t>水质监测分析过程中的质量保证和质量控制</w:t>
      </w:r>
      <w:bookmarkEnd w:id="80"/>
    </w:p>
    <w:p>
      <w:pPr>
        <w:ind w:firstLine="480"/>
        <w:rPr>
          <w:color w:val="auto"/>
        </w:rPr>
      </w:pPr>
      <w:r>
        <w:rPr>
          <w:color w:val="auto"/>
        </w:rPr>
        <w:t>水样的采集、运输、保存、实验室分析和数据计算的全过程均按《水和废水监测分析方法》（第四版增补版）的要求进行。</w:t>
      </w:r>
    </w:p>
    <w:p>
      <w:pPr>
        <w:pStyle w:val="5"/>
        <w:rPr>
          <w:color w:val="auto"/>
        </w:rPr>
      </w:pPr>
      <w:bookmarkStart w:id="81" w:name="_Toc61959019"/>
      <w:r>
        <w:rPr>
          <w:color w:val="auto"/>
        </w:rPr>
        <w:t>8.</w:t>
      </w:r>
      <w:r>
        <w:rPr>
          <w:rFonts w:hint="eastAsia"/>
          <w:color w:val="auto"/>
        </w:rPr>
        <w:t>4</w:t>
      </w:r>
      <w:r>
        <w:rPr>
          <w:color w:val="auto"/>
        </w:rPr>
        <w:t>废气监测分析过程中的质量保证和质量控制</w:t>
      </w:r>
      <w:bookmarkEnd w:id="81"/>
    </w:p>
    <w:p>
      <w:pPr>
        <w:ind w:firstLine="480"/>
        <w:rPr>
          <w:color w:val="auto"/>
        </w:rPr>
      </w:pPr>
      <w:r>
        <w:rPr>
          <w:color w:val="auto"/>
        </w:rPr>
        <w:t>实行全过程的质量保证，</w:t>
      </w:r>
      <w:r>
        <w:rPr>
          <w:rFonts w:hint="eastAsia"/>
          <w:color w:val="auto"/>
        </w:rPr>
        <w:t>按《环境监测技术规范》和 《固定污染源监测质量保证与质量控制技术规范（试行）》（HJ/T373-2007）中的要求进行全过程质量控制。</w:t>
      </w:r>
    </w:p>
    <w:p>
      <w:pPr>
        <w:pStyle w:val="5"/>
        <w:rPr>
          <w:color w:val="auto"/>
        </w:rPr>
      </w:pPr>
      <w:bookmarkStart w:id="82" w:name="_Toc61959020"/>
      <w:r>
        <w:rPr>
          <w:color w:val="auto"/>
        </w:rPr>
        <w:t>8.</w:t>
      </w:r>
      <w:r>
        <w:rPr>
          <w:rFonts w:hint="eastAsia"/>
          <w:color w:val="auto"/>
        </w:rPr>
        <w:t>5</w:t>
      </w:r>
      <w:r>
        <w:rPr>
          <w:color w:val="auto"/>
        </w:rPr>
        <w:t>噪声监测分析过程中的质量保证和质量控制</w:t>
      </w:r>
      <w:bookmarkEnd w:id="82"/>
    </w:p>
    <w:p>
      <w:pPr>
        <w:ind w:firstLine="480"/>
        <w:rPr>
          <w:color w:val="auto"/>
        </w:rPr>
      </w:pPr>
      <w:r>
        <w:rPr>
          <w:color w:val="auto"/>
        </w:rPr>
        <w:t>声级计在测试前后用标准发生源进行校准，测量前后仪器的灵敏度相差不大于0.5dB。</w:t>
      </w:r>
    </w:p>
    <w:p>
      <w:pPr>
        <w:pStyle w:val="2"/>
        <w:ind w:left="480" w:firstLine="480"/>
        <w:rPr>
          <w:color w:val="auto"/>
        </w:rPr>
      </w:pPr>
    </w:p>
    <w:p>
      <w:pPr>
        <w:pStyle w:val="4"/>
        <w:rPr>
          <w:color w:val="auto"/>
        </w:rPr>
        <w:sectPr>
          <w:pgSz w:w="11906" w:h="16838"/>
          <w:pgMar w:top="1418" w:right="1701" w:bottom="1418" w:left="1701" w:header="851" w:footer="992" w:gutter="0"/>
          <w:pgNumType w:fmt="numberInDash"/>
          <w:cols w:space="425" w:num="1"/>
          <w:docGrid w:type="lines" w:linePitch="312" w:charSpace="0"/>
        </w:sectPr>
      </w:pPr>
      <w:bookmarkStart w:id="83" w:name="_Toc61959021"/>
      <w:bookmarkStart w:id="84" w:name="_Toc515273928"/>
    </w:p>
    <w:p>
      <w:pPr>
        <w:pStyle w:val="4"/>
        <w:rPr>
          <w:color w:val="auto"/>
        </w:rPr>
      </w:pPr>
      <w:r>
        <w:rPr>
          <w:rFonts w:hint="eastAsia"/>
          <w:color w:val="auto"/>
        </w:rPr>
        <w:t>9</w:t>
      </w:r>
      <w:r>
        <w:rPr>
          <w:color w:val="auto"/>
        </w:rPr>
        <w:t>验收监测结果</w:t>
      </w:r>
      <w:bookmarkEnd w:id="83"/>
      <w:bookmarkEnd w:id="84"/>
    </w:p>
    <w:p>
      <w:pPr>
        <w:pStyle w:val="5"/>
        <w:rPr>
          <w:color w:val="auto"/>
        </w:rPr>
      </w:pPr>
      <w:bookmarkStart w:id="85" w:name="_Toc515273929"/>
      <w:bookmarkStart w:id="86" w:name="_Toc61959022"/>
      <w:r>
        <w:rPr>
          <w:color w:val="auto"/>
        </w:rPr>
        <w:t>9.1生产工况</w:t>
      </w:r>
      <w:bookmarkEnd w:id="85"/>
      <w:bookmarkEnd w:id="86"/>
    </w:p>
    <w:p>
      <w:pPr>
        <w:ind w:firstLine="480"/>
        <w:rPr>
          <w:rFonts w:cs="Times New Roman"/>
          <w:color w:val="auto"/>
        </w:rPr>
      </w:pPr>
      <w:r>
        <w:rPr>
          <w:rFonts w:cs="Times New Roman"/>
          <w:color w:val="auto"/>
        </w:rPr>
        <w:t>验收监测期间各设备运转正常，</w:t>
      </w:r>
      <w:r>
        <w:rPr>
          <w:rFonts w:hint="eastAsia"/>
          <w:color w:val="auto"/>
        </w:rPr>
        <w:t>已建项目</w:t>
      </w:r>
      <w:r>
        <w:rPr>
          <w:color w:val="auto"/>
        </w:rPr>
        <w:t>各设备运转正常，因此监测数据可作为该项目竣工环保验收的依据，</w:t>
      </w:r>
      <w:r>
        <w:rPr>
          <w:rFonts w:cs="Times New Roman"/>
          <w:color w:val="auto"/>
        </w:rPr>
        <w:t>具体见表9-1。</w:t>
      </w:r>
    </w:p>
    <w:p>
      <w:pPr>
        <w:pStyle w:val="30"/>
        <w:spacing w:before="62" w:after="31"/>
        <w:rPr>
          <w:color w:val="auto"/>
        </w:rPr>
      </w:pPr>
      <w:r>
        <w:rPr>
          <w:color w:val="auto"/>
        </w:rPr>
        <w:t>表9-1验收监测期间生产负荷</w:t>
      </w:r>
    </w:p>
    <w:tbl>
      <w:tblPr>
        <w:tblStyle w:val="21"/>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701"/>
        <w:gridCol w:w="1421"/>
        <w:gridCol w:w="1976"/>
        <w:gridCol w:w="997"/>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Align w:val="center"/>
          </w:tcPr>
          <w:p>
            <w:pPr>
              <w:pStyle w:val="32"/>
              <w:rPr>
                <w:b/>
                <w:bCs/>
                <w:color w:val="auto"/>
              </w:rPr>
            </w:pPr>
            <w:r>
              <w:rPr>
                <w:b/>
                <w:bCs/>
                <w:color w:val="auto"/>
              </w:rPr>
              <w:t>产品名称</w:t>
            </w:r>
          </w:p>
        </w:tc>
        <w:tc>
          <w:tcPr>
            <w:tcW w:w="1701" w:type="dxa"/>
            <w:vAlign w:val="center"/>
          </w:tcPr>
          <w:p>
            <w:pPr>
              <w:pStyle w:val="32"/>
              <w:rPr>
                <w:b/>
                <w:bCs/>
                <w:color w:val="auto"/>
              </w:rPr>
            </w:pPr>
            <w:r>
              <w:rPr>
                <w:b/>
                <w:bCs/>
                <w:color w:val="auto"/>
              </w:rPr>
              <w:t>环评</w:t>
            </w:r>
            <w:r>
              <w:rPr>
                <w:rFonts w:hint="eastAsia"/>
                <w:b/>
                <w:bCs/>
                <w:color w:val="auto"/>
              </w:rPr>
              <w:t>设计</w:t>
            </w:r>
            <w:r>
              <w:rPr>
                <w:b/>
                <w:bCs/>
                <w:color w:val="auto"/>
              </w:rPr>
              <w:t>年产量</w:t>
            </w:r>
          </w:p>
        </w:tc>
        <w:tc>
          <w:tcPr>
            <w:tcW w:w="1421" w:type="dxa"/>
            <w:vAlign w:val="center"/>
          </w:tcPr>
          <w:p>
            <w:pPr>
              <w:pStyle w:val="32"/>
              <w:rPr>
                <w:b/>
                <w:bCs/>
                <w:color w:val="auto"/>
              </w:rPr>
            </w:pPr>
            <w:r>
              <w:rPr>
                <w:rFonts w:hint="eastAsia"/>
                <w:b/>
                <w:bCs/>
                <w:color w:val="auto"/>
              </w:rPr>
              <w:t>环评</w:t>
            </w:r>
            <w:r>
              <w:rPr>
                <w:b/>
                <w:bCs/>
                <w:color w:val="auto"/>
              </w:rPr>
              <w:t>日产量</w:t>
            </w:r>
          </w:p>
        </w:tc>
        <w:tc>
          <w:tcPr>
            <w:tcW w:w="2973" w:type="dxa"/>
            <w:gridSpan w:val="2"/>
            <w:vAlign w:val="center"/>
          </w:tcPr>
          <w:p>
            <w:pPr>
              <w:pStyle w:val="32"/>
              <w:rPr>
                <w:b/>
                <w:bCs/>
                <w:color w:val="auto"/>
              </w:rPr>
            </w:pPr>
            <w:r>
              <w:rPr>
                <w:b/>
                <w:bCs/>
                <w:color w:val="auto"/>
              </w:rPr>
              <w:t>验收期间产量</w:t>
            </w:r>
          </w:p>
        </w:tc>
        <w:tc>
          <w:tcPr>
            <w:tcW w:w="1122" w:type="dxa"/>
            <w:vAlign w:val="center"/>
          </w:tcPr>
          <w:p>
            <w:pPr>
              <w:pStyle w:val="32"/>
              <w:rPr>
                <w:b/>
                <w:bCs/>
                <w:color w:val="auto"/>
              </w:rPr>
            </w:pPr>
            <w:r>
              <w:rPr>
                <w:b/>
                <w:bCs/>
                <w:color w:val="auto"/>
              </w:rPr>
              <w:t>负荷率</w:t>
            </w:r>
            <w:r>
              <w:rPr>
                <w:rFonts w:hint="eastAsia"/>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vAlign w:val="center"/>
          </w:tcPr>
          <w:p>
            <w:pPr>
              <w:pStyle w:val="32"/>
              <w:rPr>
                <w:color w:val="auto"/>
              </w:rPr>
            </w:pPr>
            <w:r>
              <w:rPr>
                <w:rFonts w:hint="eastAsia"/>
                <w:color w:val="auto"/>
              </w:rPr>
              <w:t>高档粗纺羊绒纱</w:t>
            </w:r>
          </w:p>
        </w:tc>
        <w:tc>
          <w:tcPr>
            <w:tcW w:w="1701" w:type="dxa"/>
            <w:vMerge w:val="restart"/>
            <w:vAlign w:val="center"/>
          </w:tcPr>
          <w:p>
            <w:pPr>
              <w:pStyle w:val="32"/>
              <w:rPr>
                <w:color w:val="auto"/>
              </w:rPr>
            </w:pPr>
            <w:r>
              <w:rPr>
                <w:rFonts w:hint="eastAsia"/>
                <w:color w:val="auto"/>
              </w:rPr>
              <w:t>6</w:t>
            </w:r>
            <w:r>
              <w:rPr>
                <w:color w:val="auto"/>
              </w:rPr>
              <w:t>00</w:t>
            </w:r>
            <w:r>
              <w:rPr>
                <w:rFonts w:hint="eastAsia"/>
                <w:color w:val="auto"/>
              </w:rPr>
              <w:t>t/a</w:t>
            </w:r>
          </w:p>
        </w:tc>
        <w:tc>
          <w:tcPr>
            <w:tcW w:w="1421" w:type="dxa"/>
            <w:vMerge w:val="restart"/>
            <w:vAlign w:val="center"/>
          </w:tcPr>
          <w:p>
            <w:pPr>
              <w:pStyle w:val="32"/>
              <w:rPr>
                <w:color w:val="auto"/>
              </w:rPr>
            </w:pPr>
            <w:r>
              <w:rPr>
                <w:rFonts w:hint="eastAsia"/>
                <w:color w:val="auto"/>
              </w:rPr>
              <w:t>2t/d</w:t>
            </w:r>
          </w:p>
        </w:tc>
        <w:tc>
          <w:tcPr>
            <w:tcW w:w="1976" w:type="dxa"/>
            <w:vAlign w:val="center"/>
          </w:tcPr>
          <w:p>
            <w:pPr>
              <w:pStyle w:val="32"/>
              <w:rPr>
                <w:color w:val="auto"/>
              </w:rPr>
            </w:pPr>
            <w:r>
              <w:rPr>
                <w:rFonts w:hint="eastAsia"/>
                <w:color w:val="auto"/>
              </w:rPr>
              <w:t>20</w:t>
            </w:r>
            <w:r>
              <w:rPr>
                <w:color w:val="auto"/>
              </w:rPr>
              <w:t>21</w:t>
            </w:r>
            <w:r>
              <w:rPr>
                <w:rFonts w:hint="eastAsia"/>
                <w:color w:val="auto"/>
              </w:rPr>
              <w:t>年11月24日</w:t>
            </w:r>
          </w:p>
        </w:tc>
        <w:tc>
          <w:tcPr>
            <w:tcW w:w="997" w:type="dxa"/>
            <w:vAlign w:val="center"/>
          </w:tcPr>
          <w:p>
            <w:pPr>
              <w:pStyle w:val="32"/>
              <w:rPr>
                <w:color w:val="auto"/>
              </w:rPr>
            </w:pPr>
            <w:r>
              <w:rPr>
                <w:rFonts w:hint="eastAsia"/>
                <w:color w:val="auto"/>
              </w:rPr>
              <w:t>1.7t</w:t>
            </w:r>
          </w:p>
        </w:tc>
        <w:tc>
          <w:tcPr>
            <w:tcW w:w="1122" w:type="dxa"/>
            <w:vAlign w:val="center"/>
          </w:tcPr>
          <w:p>
            <w:pPr>
              <w:pStyle w:val="32"/>
              <w:rPr>
                <w:color w:val="auto"/>
              </w:rPr>
            </w:pPr>
            <w:r>
              <w:rPr>
                <w:rFonts w:hint="eastAsia"/>
                <w:color w:val="auto"/>
              </w:rPr>
              <w:t>85</w:t>
            </w:r>
            <w:r>
              <w:rPr>
                <w:color w:val="auto"/>
              </w:rPr>
              <w:t>.0</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vAlign w:val="center"/>
          </w:tcPr>
          <w:p>
            <w:pPr>
              <w:pStyle w:val="32"/>
              <w:rPr>
                <w:color w:val="auto"/>
              </w:rPr>
            </w:pPr>
          </w:p>
        </w:tc>
        <w:tc>
          <w:tcPr>
            <w:tcW w:w="1701" w:type="dxa"/>
            <w:vMerge w:val="continue"/>
            <w:vAlign w:val="center"/>
          </w:tcPr>
          <w:p>
            <w:pPr>
              <w:pStyle w:val="32"/>
              <w:rPr>
                <w:color w:val="auto"/>
              </w:rPr>
            </w:pPr>
          </w:p>
        </w:tc>
        <w:tc>
          <w:tcPr>
            <w:tcW w:w="1421" w:type="dxa"/>
            <w:vMerge w:val="continue"/>
            <w:vAlign w:val="center"/>
          </w:tcPr>
          <w:p>
            <w:pPr>
              <w:pStyle w:val="32"/>
              <w:rPr>
                <w:color w:val="auto"/>
              </w:rPr>
            </w:pPr>
          </w:p>
        </w:tc>
        <w:tc>
          <w:tcPr>
            <w:tcW w:w="1976" w:type="dxa"/>
            <w:vAlign w:val="center"/>
          </w:tcPr>
          <w:p>
            <w:pPr>
              <w:pStyle w:val="32"/>
              <w:rPr>
                <w:color w:val="auto"/>
              </w:rPr>
            </w:pPr>
            <w:r>
              <w:rPr>
                <w:rFonts w:hint="eastAsia"/>
                <w:color w:val="auto"/>
              </w:rPr>
              <w:t>20</w:t>
            </w:r>
            <w:r>
              <w:rPr>
                <w:color w:val="auto"/>
              </w:rPr>
              <w:t>21</w:t>
            </w:r>
            <w:r>
              <w:rPr>
                <w:rFonts w:hint="eastAsia"/>
                <w:color w:val="auto"/>
              </w:rPr>
              <w:t>年11月25日</w:t>
            </w:r>
          </w:p>
        </w:tc>
        <w:tc>
          <w:tcPr>
            <w:tcW w:w="997" w:type="dxa"/>
            <w:vAlign w:val="center"/>
          </w:tcPr>
          <w:p>
            <w:pPr>
              <w:pStyle w:val="32"/>
              <w:rPr>
                <w:color w:val="auto"/>
              </w:rPr>
            </w:pPr>
            <w:r>
              <w:rPr>
                <w:rFonts w:hint="eastAsia"/>
                <w:color w:val="auto"/>
              </w:rPr>
              <w:t>1.8t</w:t>
            </w:r>
          </w:p>
        </w:tc>
        <w:tc>
          <w:tcPr>
            <w:tcW w:w="1122" w:type="dxa"/>
            <w:vAlign w:val="center"/>
          </w:tcPr>
          <w:p>
            <w:pPr>
              <w:pStyle w:val="32"/>
              <w:rPr>
                <w:color w:val="auto"/>
              </w:rPr>
            </w:pPr>
            <w:r>
              <w:rPr>
                <w:rFonts w:hint="eastAsia"/>
                <w:color w:val="auto"/>
              </w:rPr>
              <w:t>90</w:t>
            </w:r>
            <w:r>
              <w:rPr>
                <w:color w:val="auto"/>
              </w:rPr>
              <w:t>.0</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vAlign w:val="center"/>
          </w:tcPr>
          <w:p>
            <w:pPr>
              <w:pStyle w:val="32"/>
              <w:rPr>
                <w:color w:val="auto"/>
              </w:rPr>
            </w:pPr>
            <w:bookmarkStart w:id="87" w:name="_Toc61959023"/>
            <w:bookmarkStart w:id="88" w:name="_Toc515273930"/>
          </w:p>
        </w:tc>
        <w:tc>
          <w:tcPr>
            <w:tcW w:w="1701" w:type="dxa"/>
            <w:vMerge w:val="continue"/>
            <w:vAlign w:val="center"/>
          </w:tcPr>
          <w:p>
            <w:pPr>
              <w:pStyle w:val="32"/>
              <w:rPr>
                <w:color w:val="auto"/>
              </w:rPr>
            </w:pPr>
          </w:p>
        </w:tc>
        <w:tc>
          <w:tcPr>
            <w:tcW w:w="1421" w:type="dxa"/>
            <w:vMerge w:val="continue"/>
            <w:vAlign w:val="center"/>
          </w:tcPr>
          <w:p>
            <w:pPr>
              <w:pStyle w:val="32"/>
              <w:rPr>
                <w:color w:val="auto"/>
              </w:rPr>
            </w:pPr>
          </w:p>
        </w:tc>
        <w:tc>
          <w:tcPr>
            <w:tcW w:w="1976" w:type="dxa"/>
            <w:vAlign w:val="center"/>
          </w:tcPr>
          <w:p>
            <w:pPr>
              <w:pStyle w:val="32"/>
              <w:rPr>
                <w:color w:val="auto"/>
              </w:rPr>
            </w:pPr>
            <w:r>
              <w:rPr>
                <w:rFonts w:hint="eastAsia"/>
                <w:color w:val="auto"/>
              </w:rPr>
              <w:t>2022年3月3日</w:t>
            </w:r>
          </w:p>
        </w:tc>
        <w:tc>
          <w:tcPr>
            <w:tcW w:w="997" w:type="dxa"/>
            <w:vAlign w:val="center"/>
          </w:tcPr>
          <w:p>
            <w:pPr>
              <w:pStyle w:val="32"/>
              <w:rPr>
                <w:color w:val="auto"/>
              </w:rPr>
            </w:pPr>
            <w:r>
              <w:rPr>
                <w:rFonts w:hint="eastAsia"/>
                <w:color w:val="auto"/>
              </w:rPr>
              <w:t>1.65t</w:t>
            </w:r>
          </w:p>
        </w:tc>
        <w:tc>
          <w:tcPr>
            <w:tcW w:w="1122" w:type="dxa"/>
            <w:vAlign w:val="center"/>
          </w:tcPr>
          <w:p>
            <w:pPr>
              <w:pStyle w:val="32"/>
              <w:rPr>
                <w:color w:val="auto"/>
              </w:rPr>
            </w:pPr>
            <w:r>
              <w:rPr>
                <w:rFonts w:hint="eastAsia"/>
                <w:color w:val="auto"/>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vAlign w:val="center"/>
          </w:tcPr>
          <w:p>
            <w:pPr>
              <w:pStyle w:val="32"/>
              <w:rPr>
                <w:color w:val="auto"/>
              </w:rPr>
            </w:pPr>
          </w:p>
        </w:tc>
        <w:tc>
          <w:tcPr>
            <w:tcW w:w="1701" w:type="dxa"/>
            <w:vMerge w:val="continue"/>
            <w:vAlign w:val="center"/>
          </w:tcPr>
          <w:p>
            <w:pPr>
              <w:pStyle w:val="32"/>
              <w:rPr>
                <w:color w:val="auto"/>
              </w:rPr>
            </w:pPr>
          </w:p>
        </w:tc>
        <w:tc>
          <w:tcPr>
            <w:tcW w:w="1421" w:type="dxa"/>
            <w:vMerge w:val="continue"/>
            <w:vAlign w:val="center"/>
          </w:tcPr>
          <w:p>
            <w:pPr>
              <w:pStyle w:val="32"/>
              <w:rPr>
                <w:color w:val="auto"/>
              </w:rPr>
            </w:pPr>
          </w:p>
        </w:tc>
        <w:tc>
          <w:tcPr>
            <w:tcW w:w="1976" w:type="dxa"/>
            <w:vAlign w:val="center"/>
          </w:tcPr>
          <w:p>
            <w:pPr>
              <w:pStyle w:val="32"/>
              <w:rPr>
                <w:color w:val="auto"/>
              </w:rPr>
            </w:pPr>
            <w:r>
              <w:rPr>
                <w:rFonts w:hint="eastAsia"/>
                <w:color w:val="auto"/>
              </w:rPr>
              <w:t>2022年3月4日</w:t>
            </w:r>
          </w:p>
        </w:tc>
        <w:tc>
          <w:tcPr>
            <w:tcW w:w="997" w:type="dxa"/>
            <w:vAlign w:val="center"/>
          </w:tcPr>
          <w:p>
            <w:pPr>
              <w:pStyle w:val="32"/>
              <w:rPr>
                <w:color w:val="auto"/>
              </w:rPr>
            </w:pPr>
            <w:r>
              <w:rPr>
                <w:rFonts w:hint="eastAsia"/>
                <w:color w:val="auto"/>
              </w:rPr>
              <w:t>1.58t</w:t>
            </w:r>
          </w:p>
        </w:tc>
        <w:tc>
          <w:tcPr>
            <w:tcW w:w="1122" w:type="dxa"/>
            <w:vAlign w:val="center"/>
          </w:tcPr>
          <w:p>
            <w:pPr>
              <w:pStyle w:val="32"/>
              <w:rPr>
                <w:color w:val="auto"/>
              </w:rPr>
            </w:pPr>
            <w:r>
              <w:rPr>
                <w:rFonts w:hint="eastAsia"/>
                <w:color w:val="auto"/>
              </w:rPr>
              <w:t>79.0%</w:t>
            </w:r>
          </w:p>
        </w:tc>
      </w:tr>
    </w:tbl>
    <w:p>
      <w:pPr>
        <w:pStyle w:val="5"/>
        <w:rPr>
          <w:color w:val="auto"/>
        </w:rPr>
      </w:pPr>
      <w:r>
        <w:rPr>
          <w:color w:val="auto"/>
        </w:rPr>
        <w:t>9.2环境保护设施调试效果</w:t>
      </w:r>
      <w:bookmarkEnd w:id="87"/>
      <w:bookmarkEnd w:id="88"/>
    </w:p>
    <w:p>
      <w:pPr>
        <w:pStyle w:val="6"/>
        <w:rPr>
          <w:color w:val="auto"/>
          <w:highlight w:val="yellow"/>
        </w:rPr>
      </w:pPr>
      <w:r>
        <w:rPr>
          <w:color w:val="auto"/>
        </w:rPr>
        <w:t>9.2.1废水</w:t>
      </w:r>
    </w:p>
    <w:p>
      <w:pPr>
        <w:ind w:firstLine="480"/>
        <w:rPr>
          <w:rFonts w:cs="Times New Roman"/>
          <w:color w:val="auto"/>
        </w:rPr>
      </w:pPr>
      <w:r>
        <w:rPr>
          <w:rFonts w:hint="eastAsia" w:cs="Times New Roman"/>
          <w:color w:val="auto"/>
        </w:rPr>
        <w:t>浙江华维检测技术服务有限公司</w:t>
      </w:r>
      <w:r>
        <w:rPr>
          <w:rFonts w:cs="Times New Roman"/>
          <w:color w:val="auto"/>
        </w:rPr>
        <w:t>于20</w:t>
      </w:r>
      <w:r>
        <w:rPr>
          <w:rFonts w:hint="eastAsia" w:cs="Times New Roman"/>
          <w:color w:val="auto"/>
        </w:rPr>
        <w:t>2</w:t>
      </w:r>
      <w:r>
        <w:rPr>
          <w:rFonts w:cs="Times New Roman"/>
          <w:color w:val="auto"/>
        </w:rPr>
        <w:t>1年</w:t>
      </w:r>
      <w:r>
        <w:rPr>
          <w:rFonts w:hint="eastAsia" w:cs="Times New Roman"/>
          <w:color w:val="auto"/>
        </w:rPr>
        <w:t>11</w:t>
      </w:r>
      <w:r>
        <w:rPr>
          <w:rFonts w:cs="Times New Roman"/>
          <w:color w:val="auto"/>
        </w:rPr>
        <w:t>月</w:t>
      </w:r>
      <w:r>
        <w:rPr>
          <w:rFonts w:hint="eastAsia" w:cs="Times New Roman"/>
          <w:color w:val="auto"/>
        </w:rPr>
        <w:t>24</w:t>
      </w:r>
      <w:r>
        <w:rPr>
          <w:rFonts w:cs="Times New Roman"/>
          <w:color w:val="auto"/>
        </w:rPr>
        <w:t>日</w:t>
      </w:r>
      <w:r>
        <w:rPr>
          <w:rFonts w:hint="eastAsia" w:cs="Times New Roman"/>
          <w:color w:val="auto"/>
        </w:rPr>
        <w:t>、11月25</w:t>
      </w:r>
      <w:r>
        <w:rPr>
          <w:rFonts w:cs="Times New Roman"/>
          <w:color w:val="auto"/>
        </w:rPr>
        <w:t>日对</w:t>
      </w:r>
      <w:r>
        <w:rPr>
          <w:rFonts w:hint="eastAsia" w:cs="Times New Roman"/>
          <w:color w:val="auto"/>
        </w:rPr>
        <w:t>桐乡市鸿尔纺织有限公司废水总排口</w:t>
      </w:r>
      <w:r>
        <w:rPr>
          <w:rFonts w:cs="Times New Roman"/>
          <w:color w:val="auto"/>
        </w:rPr>
        <w:t>的</w:t>
      </w:r>
      <w:r>
        <w:rPr>
          <w:rFonts w:hint="eastAsia" w:cs="Times New Roman"/>
          <w:color w:val="auto"/>
        </w:rPr>
        <w:t>废水</w:t>
      </w:r>
      <w:r>
        <w:rPr>
          <w:rFonts w:cs="Times New Roman"/>
          <w:color w:val="auto"/>
        </w:rPr>
        <w:t>进行了</w:t>
      </w:r>
      <w:r>
        <w:rPr>
          <w:rFonts w:hint="eastAsia" w:cs="Times New Roman"/>
          <w:color w:val="auto"/>
        </w:rPr>
        <w:t>现场</w:t>
      </w:r>
      <w:r>
        <w:rPr>
          <w:rFonts w:cs="Times New Roman"/>
          <w:color w:val="auto"/>
        </w:rPr>
        <w:t>监测，废水水质监测结果见表9-2。</w:t>
      </w:r>
    </w:p>
    <w:p>
      <w:pPr>
        <w:ind w:firstLine="480"/>
        <w:rPr>
          <w:color w:val="auto"/>
        </w:rPr>
      </w:pPr>
      <w:r>
        <w:rPr>
          <w:rFonts w:hint="eastAsia"/>
          <w:color w:val="auto"/>
        </w:rPr>
        <w:t>根据监测结果，公司废水总排口的水质中pH、COD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、SS、动植物油的污染物浓度日均值均达到《污水综合排放标准》（GB8978-1996）表4中的三级标准，NH</w:t>
      </w:r>
      <w:r>
        <w:rPr>
          <w:rFonts w:hint="eastAsia"/>
          <w:color w:val="auto"/>
          <w:vertAlign w:val="subscript"/>
        </w:rPr>
        <w:t>3</w:t>
      </w:r>
      <w:r>
        <w:rPr>
          <w:rFonts w:hint="eastAsia"/>
          <w:color w:val="auto"/>
        </w:rPr>
        <w:t>-N浓度日均值达到DB33/887-2013《工业企业废水氮、磷污染物间接排放限值》</w:t>
      </w:r>
      <w:bookmarkStart w:id="89" w:name="_Hlk81570062"/>
      <w:r>
        <w:rPr>
          <w:rFonts w:hint="eastAsia"/>
          <w:color w:val="auto"/>
        </w:rPr>
        <w:t>表1中的工业企业水污染间接排放限值相关要求</w:t>
      </w:r>
      <w:bookmarkEnd w:id="89"/>
      <w:r>
        <w:rPr>
          <w:rFonts w:hint="eastAsia"/>
          <w:color w:val="auto"/>
        </w:rPr>
        <w:t>。pH、COD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-N、SS、动植物油的单项次达标率为100%。</w:t>
      </w:r>
    </w:p>
    <w:p>
      <w:pPr>
        <w:pStyle w:val="2"/>
        <w:ind w:left="480" w:firstLine="480"/>
        <w:rPr>
          <w:color w:val="auto"/>
        </w:rPr>
      </w:pPr>
    </w:p>
    <w:p>
      <w:pPr>
        <w:pStyle w:val="30"/>
        <w:spacing w:before="62" w:after="31"/>
        <w:rPr>
          <w:color w:val="auto"/>
        </w:rPr>
        <w:sectPr>
          <w:pgSz w:w="11906" w:h="16838"/>
          <w:pgMar w:top="1418" w:right="1701" w:bottom="1418" w:left="1701" w:header="851" w:footer="992" w:gutter="0"/>
          <w:pgNumType w:fmt="numberInDash"/>
          <w:cols w:space="425" w:num="1"/>
          <w:docGrid w:type="lines" w:linePitch="312" w:charSpace="0"/>
        </w:sectPr>
      </w:pPr>
    </w:p>
    <w:p>
      <w:pPr>
        <w:pStyle w:val="30"/>
        <w:spacing w:before="65" w:after="32"/>
        <w:rPr>
          <w:color w:val="auto"/>
        </w:rPr>
      </w:pPr>
      <w:r>
        <w:rPr>
          <w:color w:val="auto"/>
        </w:rPr>
        <w:t>表9-2废水水质监测结果（单位：pH值为无量纲，其余为mg/L）</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59"/>
        <w:gridCol w:w="2619"/>
        <w:gridCol w:w="1666"/>
        <w:gridCol w:w="1183"/>
        <w:gridCol w:w="1189"/>
        <w:gridCol w:w="1183"/>
        <w:gridCol w:w="1081"/>
        <w:gridCol w:w="129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eastAsia="宋体" w:cs="Times New Roman"/>
                <w:b/>
                <w:bCs/>
                <w:color w:val="auto"/>
                <w:sz w:val="21"/>
              </w:rPr>
            </w:pPr>
            <w:r>
              <w:rPr>
                <w:rFonts w:hint="eastAsia" w:eastAsia="宋体" w:cs="Times New Roman"/>
                <w:b/>
                <w:bCs/>
                <w:color w:val="auto"/>
                <w:sz w:val="21"/>
              </w:rPr>
              <w:t>采样日期</w:t>
            </w:r>
          </w:p>
        </w:tc>
        <w:tc>
          <w:tcPr>
            <w:tcW w:w="47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监测位置</w:t>
            </w: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样品编号</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样品性状</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eastAsia="宋体" w:cs="Times New Roman"/>
                <w:b/>
                <w:bCs/>
                <w:color w:val="auto"/>
                <w:sz w:val="21"/>
              </w:rPr>
              <w:t>pH</w:t>
            </w:r>
            <w:r>
              <w:rPr>
                <w:rFonts w:hint="eastAsia" w:eastAsia="宋体" w:cs="Times New Roman"/>
                <w:b/>
                <w:bCs/>
                <w:color w:val="auto"/>
                <w:sz w:val="21"/>
              </w:rPr>
              <w:t>值</w:t>
            </w:r>
          </w:p>
        </w:tc>
        <w:tc>
          <w:tcPr>
            <w:tcW w:w="4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eastAsia="宋体" w:cs="Times New Roman"/>
                <w:b/>
                <w:bCs/>
                <w:color w:val="auto"/>
                <w:sz w:val="21"/>
              </w:rPr>
              <w:t>COD</w:t>
            </w:r>
            <w:r>
              <w:rPr>
                <w:rFonts w:eastAsia="宋体" w:cs="Times New Roman"/>
                <w:b/>
                <w:bCs/>
                <w:color w:val="auto"/>
                <w:sz w:val="21"/>
                <w:vertAlign w:val="subscript"/>
              </w:rPr>
              <w:t>Cr</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eastAsia="宋体" w:cs="Times New Roman"/>
                <w:b/>
                <w:bCs/>
                <w:color w:val="auto"/>
                <w:sz w:val="21"/>
              </w:rPr>
              <w:t>NH</w:t>
            </w:r>
            <w:r>
              <w:rPr>
                <w:rFonts w:eastAsia="宋体" w:cs="Times New Roman"/>
                <w:b/>
                <w:bCs/>
                <w:color w:val="auto"/>
                <w:sz w:val="21"/>
                <w:vertAlign w:val="subscript"/>
              </w:rPr>
              <w:t>3</w:t>
            </w:r>
            <w:r>
              <w:rPr>
                <w:rFonts w:eastAsia="宋体" w:cs="Times New Roman"/>
                <w:b/>
                <w:bCs/>
                <w:color w:val="auto"/>
                <w:sz w:val="21"/>
              </w:rPr>
              <w:t>-N</w:t>
            </w:r>
          </w:p>
        </w:tc>
        <w:tc>
          <w:tcPr>
            <w:tcW w:w="38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eastAsia="宋体" w:cs="Times New Roman"/>
                <w:b/>
                <w:bCs/>
                <w:color w:val="auto"/>
                <w:sz w:val="21"/>
              </w:rPr>
              <w:t>SS</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 xml:space="preserve"> 动植物油</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eastAsia="宋体" w:cs="Times New Roman"/>
                <w:b/>
                <w:bCs/>
                <w:color w:val="auto"/>
                <w:sz w:val="21"/>
              </w:rPr>
              <w:t>BOD</w:t>
            </w:r>
            <w:r>
              <w:rPr>
                <w:rFonts w:eastAsia="宋体" w:cs="Times New Roman"/>
                <w:b/>
                <w:bCs/>
                <w:color w:val="auto"/>
                <w:sz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2021.11.24</w:t>
            </w:r>
          </w:p>
        </w:tc>
        <w:tc>
          <w:tcPr>
            <w:tcW w:w="47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废水总排口</w:t>
            </w: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6.3</w:t>
            </w:r>
          </w:p>
        </w:tc>
        <w:tc>
          <w:tcPr>
            <w:tcW w:w="41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141</w:t>
            </w:r>
          </w:p>
        </w:tc>
        <w:tc>
          <w:tcPr>
            <w:tcW w:w="41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0.564</w:t>
            </w:r>
          </w:p>
        </w:tc>
        <w:tc>
          <w:tcPr>
            <w:tcW w:w="380"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23</w:t>
            </w:r>
          </w:p>
        </w:tc>
        <w:tc>
          <w:tcPr>
            <w:tcW w:w="454"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20211100113-2</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6.4</w:t>
            </w:r>
          </w:p>
        </w:tc>
        <w:tc>
          <w:tcPr>
            <w:tcW w:w="418"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148</w:t>
            </w:r>
          </w:p>
        </w:tc>
        <w:tc>
          <w:tcPr>
            <w:tcW w:w="416"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0.588</w:t>
            </w:r>
          </w:p>
        </w:tc>
        <w:tc>
          <w:tcPr>
            <w:tcW w:w="380"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19</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6.2</w:t>
            </w:r>
          </w:p>
        </w:tc>
        <w:tc>
          <w:tcPr>
            <w:tcW w:w="418"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131</w:t>
            </w:r>
          </w:p>
        </w:tc>
        <w:tc>
          <w:tcPr>
            <w:tcW w:w="416"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0.550</w:t>
            </w:r>
          </w:p>
        </w:tc>
        <w:tc>
          <w:tcPr>
            <w:tcW w:w="380"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25</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6.5</w:t>
            </w:r>
          </w:p>
        </w:tc>
        <w:tc>
          <w:tcPr>
            <w:tcW w:w="418"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134</w:t>
            </w:r>
          </w:p>
        </w:tc>
        <w:tc>
          <w:tcPr>
            <w:tcW w:w="416"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0.538</w:t>
            </w:r>
          </w:p>
        </w:tc>
        <w:tc>
          <w:tcPr>
            <w:tcW w:w="380"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20</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rPr>
              <w:t>20211100113-4</w:t>
            </w:r>
            <w:r>
              <w:rPr>
                <w:rFonts w:hint="eastAsia" w:ascii="宋体" w:hAnsi="宋体" w:eastAsia="宋体" w:cs="Times New Roman"/>
                <w:color w:val="auto"/>
                <w:sz w:val="21"/>
                <w:szCs w:val="20"/>
              </w:rPr>
              <w:t>(</w:t>
            </w:r>
            <w:r>
              <w:rPr>
                <w:rFonts w:hint="eastAsia" w:eastAsia="宋体" w:cs="Times New Roman"/>
                <w:color w:val="auto"/>
                <w:sz w:val="21"/>
                <w:szCs w:val="20"/>
              </w:rPr>
              <w:t>平行</w:t>
            </w:r>
            <w:r>
              <w:rPr>
                <w:rFonts w:hint="eastAsia" w:ascii="宋体" w:hAnsi="宋体" w:eastAsia="宋体" w:cs="Times New Roman"/>
                <w:color w:val="auto"/>
                <w:sz w:val="21"/>
                <w:szCs w:val="20"/>
              </w:rPr>
              <w:t>)</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6.5</w:t>
            </w:r>
          </w:p>
        </w:tc>
        <w:tc>
          <w:tcPr>
            <w:tcW w:w="418"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125</w:t>
            </w:r>
          </w:p>
        </w:tc>
        <w:tc>
          <w:tcPr>
            <w:tcW w:w="416"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0.541</w:t>
            </w:r>
          </w:p>
        </w:tc>
        <w:tc>
          <w:tcPr>
            <w:tcW w:w="380"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18</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505"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日均值</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6.4</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136</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0.556</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21</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100</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2021.11.25</w:t>
            </w:r>
          </w:p>
        </w:tc>
        <w:tc>
          <w:tcPr>
            <w:tcW w:w="47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废水总排口</w:t>
            </w: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20211100113-29</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7.2</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105</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0.569</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22</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20211100113-30</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7.3</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106</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0.556</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18</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20211100113-31</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7.0</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116</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0.528</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24</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20211100113-32</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7.4</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95</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0.562</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19</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2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20211100113-32</w:t>
            </w:r>
            <w:r>
              <w:rPr>
                <w:rFonts w:hint="eastAsia" w:ascii="宋体" w:hAnsi="宋体" w:eastAsia="宋体" w:cs="Times New Roman"/>
                <w:color w:val="auto"/>
                <w:sz w:val="21"/>
              </w:rPr>
              <w:t>(</w:t>
            </w:r>
            <w:r>
              <w:rPr>
                <w:rFonts w:hint="eastAsia" w:eastAsia="宋体" w:cs="Times New Roman"/>
                <w:color w:val="auto"/>
                <w:sz w:val="21"/>
              </w:rPr>
              <w:t>平行</w:t>
            </w:r>
            <w:r>
              <w:rPr>
                <w:rFonts w:hint="eastAsia" w:ascii="宋体" w:hAnsi="宋体" w:eastAsia="宋体" w:cs="Times New Roman"/>
                <w:color w:val="auto"/>
                <w:sz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淡黄较清</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7.4</w:t>
            </w:r>
          </w:p>
        </w:tc>
        <w:tc>
          <w:tcPr>
            <w:tcW w:w="4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109</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0.564</w:t>
            </w:r>
          </w:p>
        </w:tc>
        <w:tc>
          <w:tcPr>
            <w:tcW w:w="38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17</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szCs w:val="20"/>
              </w:rPr>
            </w:pPr>
            <w:r>
              <w:rPr>
                <w:rFonts w:hint="eastAsia" w:eastAsia="宋体" w:cs="Times New Roman"/>
                <w:color w:val="auto"/>
                <w:sz w:val="21"/>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505"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日均值</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7.3</w:t>
            </w:r>
          </w:p>
        </w:tc>
        <w:tc>
          <w:tcPr>
            <w:tcW w:w="4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106</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0.556</w:t>
            </w:r>
          </w:p>
        </w:tc>
        <w:tc>
          <w:tcPr>
            <w:tcW w:w="38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szCs w:val="20"/>
              </w:rPr>
              <w:t>＜0.06</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pct"/>
            <w:gridSpan w:val="4"/>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废水纳管标准值</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6</w:t>
            </w:r>
            <w:r>
              <w:rPr>
                <w:rFonts w:hint="eastAsia" w:ascii="宋体" w:hAnsi="宋体" w:eastAsia="宋体" w:cs="Times New Roman"/>
                <w:color w:val="auto"/>
                <w:sz w:val="21"/>
              </w:rPr>
              <w:t>～</w:t>
            </w:r>
            <w:r>
              <w:rPr>
                <w:rFonts w:eastAsia="宋体" w:cs="Times New Roman"/>
                <w:color w:val="auto"/>
                <w:sz w:val="21"/>
              </w:rPr>
              <w:t>9</w:t>
            </w:r>
          </w:p>
        </w:tc>
        <w:tc>
          <w:tcPr>
            <w:tcW w:w="4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500</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35</w:t>
            </w:r>
          </w:p>
        </w:tc>
        <w:tc>
          <w:tcPr>
            <w:tcW w:w="38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400</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100</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pct"/>
            <w:gridSpan w:val="4"/>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达标情况</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c>
          <w:tcPr>
            <w:tcW w:w="4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c>
          <w:tcPr>
            <w:tcW w:w="4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c>
          <w:tcPr>
            <w:tcW w:w="38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c>
          <w:tcPr>
            <w:tcW w:w="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bl>
    <w:p>
      <w:pPr>
        <w:pStyle w:val="30"/>
        <w:spacing w:before="65" w:after="32"/>
        <w:rPr>
          <w:color w:val="auto"/>
        </w:rPr>
      </w:pPr>
    </w:p>
    <w:p>
      <w:pPr>
        <w:ind w:firstLine="480"/>
        <w:rPr>
          <w:color w:val="auto"/>
        </w:rPr>
        <w:sectPr>
          <w:pgSz w:w="16838" w:h="11906" w:orient="landscape"/>
          <w:pgMar w:top="1701" w:right="1418" w:bottom="1701" w:left="1418" w:header="851" w:footer="992" w:gutter="0"/>
          <w:pgNumType w:fmt="numberInDash"/>
          <w:cols w:space="425" w:num="1"/>
          <w:docGrid w:type="lines" w:linePitch="326" w:charSpace="0"/>
        </w:sectPr>
      </w:pPr>
    </w:p>
    <w:p>
      <w:pPr>
        <w:pStyle w:val="6"/>
        <w:rPr>
          <w:color w:val="auto"/>
        </w:rPr>
      </w:pPr>
      <w:r>
        <w:rPr>
          <w:color w:val="auto"/>
        </w:rPr>
        <w:t>9.2.2废气</w:t>
      </w:r>
    </w:p>
    <w:p>
      <w:pPr>
        <w:ind w:firstLine="480"/>
        <w:rPr>
          <w:color w:val="auto"/>
        </w:rPr>
      </w:pPr>
      <w:r>
        <w:rPr>
          <w:rFonts w:hint="eastAsia"/>
          <w:color w:val="auto"/>
        </w:rPr>
        <w:t>浙江华维检测技术服务有限公司于2021年11月24日、11月25日对桐乡市鸿尔纺织有限公司厂界无组织废气排放进行了现场监测，2022年3月3日、3月4日对桐乡市鸿尔纺织有限公司厂界有组织废气排放进行了现场监测，监测期间气象条件见表9-</w:t>
      </w:r>
      <w:r>
        <w:rPr>
          <w:color w:val="auto"/>
        </w:rPr>
        <w:t>3</w:t>
      </w:r>
      <w:r>
        <w:rPr>
          <w:rFonts w:hint="eastAsia"/>
          <w:color w:val="auto"/>
        </w:rPr>
        <w:t>，无组织废气排放监测结果见表9-</w:t>
      </w:r>
      <w:r>
        <w:rPr>
          <w:color w:val="auto"/>
        </w:rPr>
        <w:t>4</w:t>
      </w:r>
      <w:r>
        <w:rPr>
          <w:rFonts w:hint="eastAsia"/>
          <w:color w:val="auto"/>
        </w:rPr>
        <w:t>，有组织废气排放监测结果见表9-5。</w:t>
      </w:r>
    </w:p>
    <w:p>
      <w:pPr>
        <w:ind w:firstLine="480"/>
        <w:rPr>
          <w:color w:val="auto"/>
        </w:rPr>
      </w:pPr>
      <w:r>
        <w:rPr>
          <w:rFonts w:hint="eastAsia"/>
          <w:color w:val="auto"/>
        </w:rPr>
        <w:t>根据监测结果，本项目厂界四周总悬浮颗粒物无组织排放浓度低于《大气污染物综合排放标准》（GB16297-1996）中表2规定的无组织排放监控浓度限值。公司废气处理设施出口颗粒物排放浓度、排放速率低于《大气污染物综合排放标准》（GB16297-1996）中表2规定的最高允许排放浓度。</w:t>
      </w:r>
    </w:p>
    <w:p>
      <w:pPr>
        <w:pStyle w:val="29"/>
        <w:spacing w:before="62" w:after="31"/>
        <w:rPr>
          <w:color w:val="auto"/>
        </w:rPr>
      </w:pPr>
      <w:r>
        <w:rPr>
          <w:rFonts w:hint="eastAsia"/>
          <w:color w:val="auto"/>
        </w:rPr>
        <w:t>表9-</w:t>
      </w:r>
      <w:r>
        <w:rPr>
          <w:color w:val="auto"/>
        </w:rPr>
        <w:t>3</w:t>
      </w:r>
      <w:r>
        <w:rPr>
          <w:rFonts w:hint="eastAsia"/>
          <w:color w:val="auto"/>
        </w:rPr>
        <w:t>气象条件</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308"/>
        <w:gridCol w:w="1633"/>
        <w:gridCol w:w="1111"/>
        <w:gridCol w:w="1111"/>
        <w:gridCol w:w="1111"/>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检测日期</w:t>
            </w: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天气</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气温（℃）</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湿度（%）</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风向</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风速（m/s）</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大气压（</w:t>
            </w:r>
            <w:r>
              <w:rPr>
                <w:rFonts w:eastAsia="宋体" w:cs="Times New Roman"/>
                <w:b/>
                <w:bCs/>
                <w:color w:val="auto"/>
                <w:sz w:val="21"/>
              </w:rPr>
              <w:t>kPa</w:t>
            </w:r>
            <w:r>
              <w:rPr>
                <w:rFonts w:hint="eastAsia" w:eastAsia="宋体" w:cs="Times New Roman"/>
                <w:b/>
                <w:bCs/>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2021.11.24</w:t>
            </w: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10.5</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32</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1.5</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12.4</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31</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1.4</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15.2</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31</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1.4</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16.0</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30</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1.3</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2021.11.25</w:t>
            </w: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14.5</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58</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1.6</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15.8</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59</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1.7</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15.9</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59</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1.7</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宋体" w:cs="Times New Roman"/>
                <w:color w:val="auto"/>
                <w:sz w:val="21"/>
              </w:rPr>
            </w:pPr>
          </w:p>
        </w:tc>
        <w:tc>
          <w:tcPr>
            <w:tcW w:w="75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晴</w:t>
            </w:r>
          </w:p>
        </w:tc>
        <w:tc>
          <w:tcPr>
            <w:tcW w:w="93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16.8</w:t>
            </w:r>
          </w:p>
        </w:tc>
        <w:tc>
          <w:tcPr>
            <w:tcW w:w="6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color w:val="auto"/>
                <w:sz w:val="21"/>
              </w:rPr>
            </w:pPr>
            <w:r>
              <w:rPr>
                <w:rFonts w:hint="eastAsia" w:eastAsia="宋体" w:cs="Times New Roman"/>
                <w:color w:val="auto"/>
                <w:sz w:val="21"/>
              </w:rPr>
              <w:t>60</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西南</w:t>
            </w:r>
          </w:p>
        </w:tc>
        <w:tc>
          <w:tcPr>
            <w:tcW w:w="6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1.8</w:t>
            </w:r>
          </w:p>
        </w:tc>
        <w:tc>
          <w:tcPr>
            <w:tcW w:w="6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102.2</w:t>
            </w:r>
          </w:p>
        </w:tc>
      </w:tr>
    </w:tbl>
    <w:p>
      <w:pPr>
        <w:pStyle w:val="29"/>
        <w:spacing w:before="62" w:after="31"/>
        <w:rPr>
          <w:color w:val="auto"/>
        </w:rPr>
      </w:pPr>
      <w:r>
        <w:rPr>
          <w:rFonts w:hint="eastAsia"/>
          <w:color w:val="auto"/>
        </w:rPr>
        <w:t>表9-4无组织废气监测结果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245"/>
        <w:gridCol w:w="1635"/>
        <w:gridCol w:w="1295"/>
        <w:gridCol w:w="1543"/>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样品编号</w:t>
            </w:r>
          </w:p>
        </w:tc>
        <w:tc>
          <w:tcPr>
            <w:tcW w:w="71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采样位置</w:t>
            </w:r>
          </w:p>
        </w:tc>
        <w:tc>
          <w:tcPr>
            <w:tcW w:w="9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检测项目</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排放浓度（</w:t>
            </w:r>
            <w:r>
              <w:rPr>
                <w:rFonts w:eastAsia="宋体" w:cs="Times New Roman"/>
                <w:b/>
                <w:bCs/>
                <w:color w:val="auto"/>
                <w:sz w:val="21"/>
              </w:rPr>
              <w:t>mg/m</w:t>
            </w:r>
            <w:r>
              <w:rPr>
                <w:rFonts w:eastAsia="宋体" w:cs="Times New Roman"/>
                <w:b/>
                <w:bCs/>
                <w:color w:val="auto"/>
                <w:sz w:val="21"/>
                <w:vertAlign w:val="superscript"/>
              </w:rPr>
              <w:t>3</w:t>
            </w:r>
            <w:r>
              <w:rPr>
                <w:rFonts w:hint="eastAsia" w:eastAsia="宋体" w:cs="Times New Roman"/>
                <w:b/>
                <w:bCs/>
                <w:color w:val="auto"/>
                <w:sz w:val="21"/>
              </w:rPr>
              <w:t>）</w:t>
            </w:r>
          </w:p>
        </w:tc>
        <w:tc>
          <w:tcPr>
            <w:tcW w:w="88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执行标准（</w:t>
            </w:r>
            <w:r>
              <w:rPr>
                <w:rFonts w:eastAsia="宋体" w:cs="Times New Roman"/>
                <w:b/>
                <w:bCs/>
                <w:color w:val="auto"/>
                <w:sz w:val="21"/>
              </w:rPr>
              <w:t>mg/m</w:t>
            </w:r>
            <w:r>
              <w:rPr>
                <w:rFonts w:eastAsia="宋体" w:cs="Times New Roman"/>
                <w:b/>
                <w:bCs/>
                <w:color w:val="auto"/>
                <w:sz w:val="21"/>
                <w:vertAlign w:val="superscript"/>
              </w:rPr>
              <w:t>3</w:t>
            </w:r>
            <w:r>
              <w:rPr>
                <w:rFonts w:hint="eastAsia" w:eastAsia="宋体" w:cs="Times New Roman"/>
                <w:b/>
                <w:bCs/>
                <w:color w:val="auto"/>
                <w:sz w:val="21"/>
              </w:rPr>
              <w:t>）</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20211100113-5</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上风向</w:t>
            </w:r>
          </w:p>
        </w:tc>
        <w:tc>
          <w:tcPr>
            <w:tcW w:w="9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0.800</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20211100113-6</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93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0.783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20211100113-7</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20211100113-8</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0.600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20211100113-9</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下风向1#</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0.733</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20211100113-10</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0.617</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20211100113-11</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0.583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20211100113-12</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0.833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20211100113-13</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下风向2#</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0.717</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20211100113-14</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0.467</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20211100113-15</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0.467</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20211100113-16</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0.650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20211100113-17</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下风向3#</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0.767</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20211100113-18</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20211100113-19</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20211100113-20</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0.783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20211100113-33</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上风向</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0.650</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20211100113-34</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0.750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20211100113-35</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0.500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20211100113-36</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0.783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20211100113-37</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下风向1#</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0.500</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20211100113-38</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20211100113-39</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0.700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20211100113-40</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0.900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20211100113-41</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下风向2#</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0.367</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20211100113-42</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0.733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20211100113-43</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0.617</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20211100113-44</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0.667</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20211100113-45</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下风向3#</w:t>
            </w: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0.583</w:t>
            </w:r>
          </w:p>
        </w:tc>
        <w:tc>
          <w:tcPr>
            <w:tcW w:w="88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1.0</w:t>
            </w: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20211100113-46</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0.650</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20211100113-47</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20211100113-48</w:t>
            </w: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163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总悬浮颗粒物</w:t>
            </w:r>
          </w:p>
        </w:tc>
        <w:tc>
          <w:tcPr>
            <w:tcW w:w="74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0.633</w:t>
            </w:r>
          </w:p>
        </w:tc>
        <w:tc>
          <w:tcPr>
            <w:tcW w:w="88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78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bl>
    <w:p>
      <w:pPr>
        <w:pStyle w:val="29"/>
        <w:spacing w:before="62" w:after="31"/>
        <w:rPr>
          <w:color w:val="auto"/>
        </w:rPr>
      </w:pPr>
      <w:r>
        <w:rPr>
          <w:rFonts w:hint="eastAsia"/>
          <w:color w:val="auto"/>
        </w:rPr>
        <w:t>表9-5有组织废气监测结果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721"/>
        <w:gridCol w:w="1118"/>
        <w:gridCol w:w="1219"/>
        <w:gridCol w:w="1050"/>
        <w:gridCol w:w="1219"/>
        <w:gridCol w:w="1035"/>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样品编号</w:t>
            </w:r>
          </w:p>
        </w:tc>
        <w:tc>
          <w:tcPr>
            <w:tcW w:w="427"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采样位置</w:t>
            </w: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检测项目</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排放浓度（</w:t>
            </w:r>
            <w:r>
              <w:rPr>
                <w:rFonts w:eastAsia="宋体" w:cs="Times New Roman"/>
                <w:b/>
                <w:bCs/>
                <w:color w:val="auto"/>
                <w:sz w:val="21"/>
              </w:rPr>
              <w:t>mg/m</w:t>
            </w:r>
            <w:r>
              <w:rPr>
                <w:rFonts w:eastAsia="宋体" w:cs="Times New Roman"/>
                <w:b/>
                <w:bCs/>
                <w:color w:val="auto"/>
                <w:sz w:val="21"/>
                <w:vertAlign w:val="superscript"/>
              </w:rPr>
              <w:t>3</w:t>
            </w:r>
            <w:r>
              <w:rPr>
                <w:rFonts w:hint="eastAsia" w:eastAsia="宋体" w:cs="Times New Roman"/>
                <w:b/>
                <w:bCs/>
                <w:color w:val="auto"/>
                <w:sz w:val="21"/>
              </w:rPr>
              <w:t>）</w:t>
            </w:r>
          </w:p>
        </w:tc>
        <w:tc>
          <w:tcPr>
            <w:tcW w:w="6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排放速率（kg/h）</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排放浓度执行标准（</w:t>
            </w:r>
            <w:r>
              <w:rPr>
                <w:rFonts w:eastAsia="宋体" w:cs="Times New Roman"/>
                <w:b/>
                <w:bCs/>
                <w:color w:val="auto"/>
                <w:sz w:val="21"/>
              </w:rPr>
              <w:t>mg/m</w:t>
            </w:r>
            <w:r>
              <w:rPr>
                <w:rFonts w:eastAsia="宋体" w:cs="Times New Roman"/>
                <w:b/>
                <w:bCs/>
                <w:color w:val="auto"/>
                <w:sz w:val="21"/>
                <w:vertAlign w:val="superscript"/>
              </w:rPr>
              <w:t>3</w:t>
            </w:r>
            <w:r>
              <w:rPr>
                <w:rFonts w:hint="eastAsia" w:eastAsia="宋体" w:cs="Times New Roman"/>
                <w:b/>
                <w:bCs/>
                <w:color w:val="auto"/>
                <w:sz w:val="21"/>
              </w:rPr>
              <w:t>）</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排放速率执行标准（kg/h）</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b/>
                <w:bCs/>
                <w:color w:val="auto"/>
                <w:sz w:val="21"/>
              </w:rPr>
            </w:pPr>
            <w:r>
              <w:rPr>
                <w:rFonts w:hint="eastAsia" w:eastAsia="宋体" w:cs="Times New Roman"/>
                <w:b/>
                <w:bCs/>
                <w:color w:val="auto"/>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20220202577-1</w:t>
            </w:r>
          </w:p>
        </w:tc>
        <w:tc>
          <w:tcPr>
            <w:tcW w:w="427"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和毛、开松、梳棉工序废气处理设施进口</w:t>
            </w: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31.9</w:t>
            </w:r>
          </w:p>
        </w:tc>
        <w:tc>
          <w:tcPr>
            <w:tcW w:w="6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0.077 </w:t>
            </w:r>
          </w:p>
        </w:tc>
        <w:tc>
          <w:tcPr>
            <w:tcW w:w="699"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w:t>
            </w:r>
          </w:p>
        </w:tc>
        <w:tc>
          <w:tcPr>
            <w:tcW w:w="538"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20220202577-2</w:t>
            </w: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31.6</w:t>
            </w:r>
          </w:p>
        </w:tc>
        <w:tc>
          <w:tcPr>
            <w:tcW w:w="6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0.077 </w:t>
            </w:r>
          </w:p>
        </w:tc>
        <w:tc>
          <w:tcPr>
            <w:tcW w:w="69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20220202577-3</w:t>
            </w:r>
          </w:p>
        </w:tc>
        <w:tc>
          <w:tcPr>
            <w:tcW w:w="427"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30.2</w:t>
            </w:r>
          </w:p>
        </w:tc>
        <w:tc>
          <w:tcPr>
            <w:tcW w:w="61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0.073 </w:t>
            </w:r>
          </w:p>
        </w:tc>
        <w:tc>
          <w:tcPr>
            <w:tcW w:w="69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20220202577-4</w:t>
            </w:r>
          </w:p>
        </w:tc>
        <w:tc>
          <w:tcPr>
            <w:tcW w:w="427"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和毛、开松、梳棉工序废气处理设施出口</w:t>
            </w: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120</w:t>
            </w:r>
          </w:p>
        </w:tc>
        <w:tc>
          <w:tcPr>
            <w:tcW w:w="538"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3.5</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20220202577-5</w:t>
            </w:r>
          </w:p>
        </w:tc>
        <w:tc>
          <w:tcPr>
            <w:tcW w:w="427" w:type="pct"/>
            <w:vMerge w:val="continue"/>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20220202577-6</w:t>
            </w:r>
          </w:p>
        </w:tc>
        <w:tc>
          <w:tcPr>
            <w:tcW w:w="427" w:type="pct"/>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20220202577-7</w:t>
            </w:r>
          </w:p>
        </w:tc>
        <w:tc>
          <w:tcPr>
            <w:tcW w:w="427"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和毛、开松、梳棉工序废气处理设施进口</w:t>
            </w: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32.4</w:t>
            </w:r>
          </w:p>
        </w:tc>
        <w:tc>
          <w:tcPr>
            <w:tcW w:w="616" w:type="pc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0.081 </w:t>
            </w:r>
          </w:p>
        </w:tc>
        <w:tc>
          <w:tcPr>
            <w:tcW w:w="699" w:type="pct"/>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eastAsia="宋体" w:cs="Times New Roman"/>
                <w:color w:val="auto"/>
                <w:sz w:val="21"/>
              </w:rPr>
            </w:pPr>
            <w:r>
              <w:rPr>
                <w:rFonts w:hint="eastAsia" w:eastAsia="宋体" w:cs="Times New Roman"/>
                <w:color w:val="auto"/>
                <w:sz w:val="21"/>
              </w:rPr>
              <w:t>/</w:t>
            </w:r>
          </w:p>
        </w:tc>
        <w:tc>
          <w:tcPr>
            <w:tcW w:w="538" w:type="pct"/>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eastAsia="宋体" w:cs="Times New Roman"/>
                <w:color w:val="auto"/>
                <w:sz w:val="21"/>
              </w:rPr>
            </w:pPr>
            <w:r>
              <w:rPr>
                <w:rFonts w:hint="eastAsia" w:eastAsia="宋体" w:cs="Times New Roman"/>
                <w:color w:val="auto"/>
                <w:sz w:val="21"/>
              </w:rPr>
              <w:t>/</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20220202577-8</w:t>
            </w:r>
          </w:p>
        </w:tc>
        <w:tc>
          <w:tcPr>
            <w:tcW w:w="427" w:type="pct"/>
            <w:vMerge w:val="continue"/>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33.3</w:t>
            </w:r>
          </w:p>
        </w:tc>
        <w:tc>
          <w:tcPr>
            <w:tcW w:w="616" w:type="pct"/>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0.084 </w:t>
            </w:r>
          </w:p>
        </w:tc>
        <w:tc>
          <w:tcPr>
            <w:tcW w:w="699" w:type="pct"/>
            <w:vMerge w:val="continue"/>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538" w:type="pct"/>
            <w:vMerge w:val="continue"/>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20220202577-9</w:t>
            </w:r>
          </w:p>
        </w:tc>
        <w:tc>
          <w:tcPr>
            <w:tcW w:w="427" w:type="pct"/>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31.7</w:t>
            </w:r>
          </w:p>
        </w:tc>
        <w:tc>
          <w:tcPr>
            <w:tcW w:w="616" w:type="pct"/>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0.080 </w:t>
            </w:r>
          </w:p>
        </w:tc>
        <w:tc>
          <w:tcPr>
            <w:tcW w:w="699"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20220202577-10</w:t>
            </w:r>
          </w:p>
        </w:tc>
        <w:tc>
          <w:tcPr>
            <w:tcW w:w="427"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和毛、开松、梳棉工序废气处理设施出口</w:t>
            </w: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120</w:t>
            </w:r>
          </w:p>
        </w:tc>
        <w:tc>
          <w:tcPr>
            <w:tcW w:w="538"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3.5</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20220202577-11</w:t>
            </w:r>
          </w:p>
        </w:tc>
        <w:tc>
          <w:tcPr>
            <w:tcW w:w="427" w:type="pct"/>
            <w:vMerge w:val="continue"/>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left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eastAsia="宋体" w:cs="Times New Roman"/>
                <w:color w:val="auto"/>
                <w:sz w:val="21"/>
              </w:rPr>
              <w:t>20220202577-12</w:t>
            </w:r>
          </w:p>
        </w:tc>
        <w:tc>
          <w:tcPr>
            <w:tcW w:w="427" w:type="pct"/>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655"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低浓度颗粒物</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＜1.0</w:t>
            </w:r>
          </w:p>
        </w:tc>
        <w:tc>
          <w:tcPr>
            <w:tcW w:w="616" w:type="pct"/>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 xml:space="preserve">0.003 </w:t>
            </w:r>
          </w:p>
        </w:tc>
        <w:tc>
          <w:tcPr>
            <w:tcW w:w="699" w:type="pct"/>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538" w:type="pct"/>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eastAsia="宋体" w:cs="Times New Roman"/>
                <w:color w:val="auto"/>
                <w:sz w:val="21"/>
              </w:rPr>
            </w:pPr>
            <w:r>
              <w:rPr>
                <w:rFonts w:hint="eastAsia" w:eastAsia="宋体" w:cs="Times New Roman"/>
                <w:color w:val="auto"/>
                <w:sz w:val="21"/>
              </w:rPr>
              <w:t>达标</w:t>
            </w:r>
          </w:p>
        </w:tc>
      </w:tr>
    </w:tbl>
    <w:p>
      <w:pPr>
        <w:pStyle w:val="6"/>
        <w:rPr>
          <w:color w:val="auto"/>
        </w:rPr>
      </w:pPr>
      <w:r>
        <w:rPr>
          <w:color w:val="auto"/>
        </w:rPr>
        <w:t>9.2.3噪声</w:t>
      </w:r>
    </w:p>
    <w:p>
      <w:pPr>
        <w:ind w:firstLine="480"/>
        <w:rPr>
          <w:rFonts w:cs="Times New Roman"/>
          <w:color w:val="auto"/>
        </w:rPr>
      </w:pPr>
      <w:r>
        <w:rPr>
          <w:rFonts w:hint="eastAsia" w:cs="Times New Roman"/>
          <w:color w:val="auto"/>
        </w:rPr>
        <w:t>浙江华维检测技术服务有限公司</w:t>
      </w:r>
      <w:r>
        <w:rPr>
          <w:rFonts w:cs="Times New Roman"/>
          <w:color w:val="auto"/>
        </w:rPr>
        <w:t>于</w:t>
      </w:r>
      <w:r>
        <w:rPr>
          <w:rFonts w:hint="eastAsia" w:cs="Times New Roman"/>
          <w:color w:val="auto"/>
        </w:rPr>
        <w:t>2021年11月24日、11月25日</w:t>
      </w:r>
      <w:r>
        <w:rPr>
          <w:rFonts w:cs="Times New Roman"/>
          <w:color w:val="auto"/>
        </w:rPr>
        <w:t>对</w:t>
      </w:r>
      <w:r>
        <w:rPr>
          <w:rFonts w:hint="eastAsia" w:cs="Times New Roman"/>
          <w:color w:val="auto"/>
        </w:rPr>
        <w:t>桐乡市鸿尔纺织有限公司</w:t>
      </w:r>
      <w:r>
        <w:rPr>
          <w:rFonts w:cs="Times New Roman"/>
          <w:color w:val="auto"/>
        </w:rPr>
        <w:t>厂界</w:t>
      </w:r>
      <w:r>
        <w:rPr>
          <w:rFonts w:hint="eastAsia" w:cs="Times New Roman"/>
          <w:color w:val="auto"/>
        </w:rPr>
        <w:t>四侧昼、夜间噪声</w:t>
      </w:r>
      <w:r>
        <w:rPr>
          <w:rFonts w:cs="Times New Roman"/>
          <w:color w:val="auto"/>
        </w:rPr>
        <w:t>进行了现场监测</w:t>
      </w:r>
      <w:r>
        <w:rPr>
          <w:rFonts w:hint="eastAsia" w:cs="Times New Roman"/>
          <w:color w:val="auto"/>
        </w:rPr>
        <w:t>，</w:t>
      </w:r>
      <w:r>
        <w:rPr>
          <w:rFonts w:cs="Times New Roman"/>
          <w:color w:val="auto"/>
        </w:rPr>
        <w:t>噪声监测结果见表</w:t>
      </w:r>
      <w:r>
        <w:rPr>
          <w:rFonts w:hint="eastAsia" w:cs="Times New Roman"/>
          <w:color w:val="auto"/>
        </w:rPr>
        <w:t>。</w:t>
      </w:r>
    </w:p>
    <w:p>
      <w:pPr>
        <w:pStyle w:val="29"/>
        <w:spacing w:before="62" w:after="31"/>
        <w:rPr>
          <w:color w:val="auto"/>
        </w:rPr>
      </w:pPr>
    </w:p>
    <w:p>
      <w:pPr>
        <w:pStyle w:val="29"/>
        <w:spacing w:before="62" w:after="31"/>
        <w:rPr>
          <w:color w:val="auto"/>
        </w:rPr>
      </w:pPr>
    </w:p>
    <w:p>
      <w:pPr>
        <w:pStyle w:val="29"/>
        <w:spacing w:before="62" w:after="31"/>
        <w:rPr>
          <w:color w:val="auto"/>
        </w:rPr>
      </w:pPr>
    </w:p>
    <w:p>
      <w:pPr>
        <w:pStyle w:val="29"/>
        <w:spacing w:before="62" w:after="31"/>
        <w:rPr>
          <w:color w:val="auto"/>
        </w:rPr>
      </w:pPr>
    </w:p>
    <w:p>
      <w:pPr>
        <w:pStyle w:val="29"/>
        <w:spacing w:before="62" w:after="31"/>
        <w:rPr>
          <w:color w:val="auto"/>
        </w:rPr>
      </w:pPr>
      <w:r>
        <w:rPr>
          <w:color w:val="auto"/>
        </w:rPr>
        <w:t>表9-</w:t>
      </w:r>
      <w:r>
        <w:rPr>
          <w:rFonts w:hint="eastAsia"/>
          <w:color w:val="auto"/>
        </w:rPr>
        <w:t>6厂界</w:t>
      </w:r>
      <w:r>
        <w:rPr>
          <w:color w:val="auto"/>
        </w:rPr>
        <w:t>噪声监测结果</w:t>
      </w:r>
      <w:r>
        <w:rPr>
          <w:rFonts w:hint="eastAsia"/>
          <w:color w:val="auto"/>
        </w:rPr>
        <w:t>单位：dB（A）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297"/>
        <w:gridCol w:w="1298"/>
        <w:gridCol w:w="878"/>
        <w:gridCol w:w="1330"/>
        <w:gridCol w:w="878"/>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pStyle w:val="32"/>
              <w:rPr>
                <w:b/>
                <w:bCs/>
                <w:color w:val="auto"/>
              </w:rPr>
            </w:pPr>
            <w:r>
              <w:rPr>
                <w:rFonts w:hint="eastAsia"/>
                <w:b/>
                <w:bCs/>
                <w:color w:val="auto"/>
              </w:rPr>
              <w:t>采样时间</w:t>
            </w:r>
          </w:p>
        </w:tc>
        <w:tc>
          <w:tcPr>
            <w:tcW w:w="0" w:type="auto"/>
            <w:vMerge w:val="restart"/>
            <w:vAlign w:val="center"/>
          </w:tcPr>
          <w:p>
            <w:pPr>
              <w:pStyle w:val="32"/>
              <w:rPr>
                <w:b/>
                <w:bCs/>
                <w:color w:val="auto"/>
              </w:rPr>
            </w:pPr>
            <w:r>
              <w:rPr>
                <w:rFonts w:hint="eastAsia"/>
                <w:b/>
                <w:bCs/>
                <w:color w:val="auto"/>
              </w:rPr>
              <w:t>测点位置</w:t>
            </w:r>
          </w:p>
        </w:tc>
        <w:tc>
          <w:tcPr>
            <w:tcW w:w="0" w:type="auto"/>
            <w:vMerge w:val="restart"/>
            <w:vAlign w:val="center"/>
          </w:tcPr>
          <w:p>
            <w:pPr>
              <w:pStyle w:val="32"/>
              <w:rPr>
                <w:b/>
                <w:bCs/>
                <w:color w:val="auto"/>
              </w:rPr>
            </w:pPr>
            <w:r>
              <w:rPr>
                <w:rFonts w:hint="eastAsia"/>
                <w:b/>
                <w:bCs/>
                <w:color w:val="auto"/>
              </w:rPr>
              <w:t>主要声源</w:t>
            </w:r>
          </w:p>
        </w:tc>
        <w:tc>
          <w:tcPr>
            <w:tcW w:w="0" w:type="auto"/>
            <w:gridSpan w:val="2"/>
            <w:vAlign w:val="center"/>
          </w:tcPr>
          <w:p>
            <w:pPr>
              <w:pStyle w:val="32"/>
              <w:rPr>
                <w:b/>
                <w:bCs/>
                <w:color w:val="auto"/>
              </w:rPr>
            </w:pPr>
            <w:r>
              <w:rPr>
                <w:rFonts w:hint="eastAsia"/>
                <w:b/>
                <w:bCs/>
                <w:color w:val="auto"/>
              </w:rPr>
              <w:t>昼间</w:t>
            </w:r>
          </w:p>
        </w:tc>
        <w:tc>
          <w:tcPr>
            <w:tcW w:w="0" w:type="auto"/>
            <w:gridSpan w:val="2"/>
            <w:vAlign w:val="center"/>
          </w:tcPr>
          <w:p>
            <w:pPr>
              <w:pStyle w:val="32"/>
              <w:rPr>
                <w:b/>
                <w:bCs/>
                <w:color w:val="auto"/>
              </w:rPr>
            </w:pPr>
            <w:r>
              <w:rPr>
                <w:rFonts w:hint="eastAsia"/>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Merge w:val="continue"/>
            <w:vAlign w:val="center"/>
          </w:tcPr>
          <w:p>
            <w:pPr>
              <w:pStyle w:val="32"/>
              <w:rPr>
                <w:color w:val="auto"/>
              </w:rPr>
            </w:pPr>
          </w:p>
        </w:tc>
        <w:tc>
          <w:tcPr>
            <w:tcW w:w="0" w:type="auto"/>
            <w:vMerge w:val="continue"/>
            <w:vAlign w:val="center"/>
          </w:tcPr>
          <w:p>
            <w:pPr>
              <w:pStyle w:val="32"/>
              <w:rPr>
                <w:color w:val="auto"/>
              </w:rPr>
            </w:pPr>
          </w:p>
        </w:tc>
        <w:tc>
          <w:tcPr>
            <w:tcW w:w="0" w:type="auto"/>
            <w:vAlign w:val="center"/>
          </w:tcPr>
          <w:p>
            <w:pPr>
              <w:pStyle w:val="32"/>
              <w:rPr>
                <w:b/>
                <w:bCs/>
                <w:color w:val="auto"/>
              </w:rPr>
            </w:pPr>
            <w:r>
              <w:rPr>
                <w:rFonts w:hint="eastAsia"/>
                <w:b/>
                <w:bCs/>
                <w:color w:val="auto"/>
              </w:rPr>
              <w:t>测量时间</w:t>
            </w:r>
          </w:p>
        </w:tc>
        <w:tc>
          <w:tcPr>
            <w:tcW w:w="0" w:type="auto"/>
            <w:vAlign w:val="center"/>
          </w:tcPr>
          <w:p>
            <w:pPr>
              <w:pStyle w:val="32"/>
              <w:rPr>
                <w:b/>
                <w:bCs/>
                <w:color w:val="auto"/>
              </w:rPr>
            </w:pPr>
            <w:r>
              <w:rPr>
                <w:rFonts w:hint="eastAsia"/>
                <w:b/>
                <w:bCs/>
                <w:color w:val="auto"/>
              </w:rPr>
              <w:t>测量值</w:t>
            </w:r>
            <w:r>
              <w:rPr>
                <w:b/>
                <w:bCs/>
                <w:color w:val="auto"/>
              </w:rPr>
              <w:t>/</w:t>
            </w:r>
            <w:r>
              <w:rPr>
                <w:rFonts w:hint="eastAsia"/>
                <w:b/>
                <w:bCs/>
                <w:color w:val="auto"/>
              </w:rPr>
              <w:t>dB（A）</w:t>
            </w:r>
          </w:p>
        </w:tc>
        <w:tc>
          <w:tcPr>
            <w:tcW w:w="0" w:type="auto"/>
            <w:vAlign w:val="center"/>
          </w:tcPr>
          <w:p>
            <w:pPr>
              <w:pStyle w:val="32"/>
              <w:rPr>
                <w:b/>
                <w:bCs/>
                <w:color w:val="auto"/>
              </w:rPr>
            </w:pPr>
            <w:r>
              <w:rPr>
                <w:rFonts w:hint="eastAsia"/>
                <w:b/>
                <w:bCs/>
                <w:color w:val="auto"/>
              </w:rPr>
              <w:t>测量时间</w:t>
            </w:r>
          </w:p>
        </w:tc>
        <w:tc>
          <w:tcPr>
            <w:tcW w:w="0" w:type="auto"/>
            <w:vAlign w:val="center"/>
          </w:tcPr>
          <w:p>
            <w:pPr>
              <w:pStyle w:val="32"/>
              <w:rPr>
                <w:b/>
                <w:bCs/>
                <w:color w:val="auto"/>
              </w:rPr>
            </w:pPr>
            <w:r>
              <w:rPr>
                <w:rFonts w:hint="eastAsia"/>
                <w:b/>
                <w:bCs/>
                <w:color w:val="auto"/>
              </w:rPr>
              <w:t>测量值</w:t>
            </w:r>
            <w:r>
              <w:rPr>
                <w:b/>
                <w:bCs/>
                <w:color w:val="auto"/>
              </w:rPr>
              <w:t>/</w:t>
            </w:r>
            <w:r>
              <w:rPr>
                <w:rFonts w:hint="eastAsia"/>
                <w:b/>
                <w:bCs/>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pStyle w:val="32"/>
              <w:rPr>
                <w:color w:val="auto"/>
              </w:rPr>
            </w:pPr>
            <w:r>
              <w:rPr>
                <w:rFonts w:hint="eastAsia"/>
                <w:color w:val="auto"/>
              </w:rPr>
              <w:t>2021.11.24</w:t>
            </w:r>
          </w:p>
        </w:tc>
        <w:tc>
          <w:tcPr>
            <w:tcW w:w="0" w:type="auto"/>
            <w:vAlign w:val="center"/>
          </w:tcPr>
          <w:p>
            <w:pPr>
              <w:pStyle w:val="32"/>
              <w:rPr>
                <w:color w:val="auto"/>
              </w:rPr>
            </w:pPr>
            <w:r>
              <w:rPr>
                <w:rFonts w:hint="eastAsia"/>
                <w:color w:val="auto"/>
              </w:rPr>
              <w:t>东</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14：15</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57.8</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22：36</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南</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14：20</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57.1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22：41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西</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14：26</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58.7</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22：46</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北</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14：31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59.4</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22：52</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pStyle w:val="32"/>
              <w:rPr>
                <w:color w:val="auto"/>
              </w:rPr>
            </w:pPr>
            <w:r>
              <w:rPr>
                <w:rFonts w:hint="eastAsia"/>
                <w:color w:val="auto"/>
              </w:rPr>
              <w:t>2021.11.25</w:t>
            </w:r>
          </w:p>
        </w:tc>
        <w:tc>
          <w:tcPr>
            <w:tcW w:w="0" w:type="auto"/>
            <w:vAlign w:val="center"/>
          </w:tcPr>
          <w:p>
            <w:pPr>
              <w:pStyle w:val="32"/>
              <w:rPr>
                <w:color w:val="auto"/>
              </w:rPr>
            </w:pPr>
            <w:r>
              <w:rPr>
                <w:rFonts w:hint="eastAsia"/>
                <w:color w:val="auto"/>
              </w:rPr>
              <w:t>东</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14：00</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55.1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22：32</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南</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14：06</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55.4</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22：41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西</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14：12</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55.0</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22：45</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32"/>
              <w:rPr>
                <w:color w:val="auto"/>
              </w:rPr>
            </w:pPr>
          </w:p>
        </w:tc>
        <w:tc>
          <w:tcPr>
            <w:tcW w:w="0" w:type="auto"/>
            <w:vAlign w:val="center"/>
          </w:tcPr>
          <w:p>
            <w:pPr>
              <w:pStyle w:val="32"/>
              <w:rPr>
                <w:color w:val="auto"/>
              </w:rPr>
            </w:pPr>
            <w:r>
              <w:rPr>
                <w:rFonts w:hint="eastAsia"/>
                <w:color w:val="auto"/>
              </w:rPr>
              <w:t>北</w:t>
            </w:r>
          </w:p>
        </w:tc>
        <w:tc>
          <w:tcPr>
            <w:tcW w:w="0" w:type="auto"/>
            <w:vAlign w:val="center"/>
          </w:tcPr>
          <w:p>
            <w:pPr>
              <w:pStyle w:val="32"/>
              <w:rPr>
                <w:color w:val="auto"/>
              </w:rPr>
            </w:pPr>
            <w:r>
              <w:rPr>
                <w:rFonts w:hint="eastAsia"/>
                <w:color w:val="auto"/>
              </w:rPr>
              <w:t>机械噪声</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14：20</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color w:val="auto"/>
              </w:rPr>
            </w:pPr>
            <w:r>
              <w:rPr>
                <w:rFonts w:hint="eastAsia"/>
                <w:color w:val="auto"/>
              </w:rPr>
              <w:t>55.6</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22：51</w:t>
            </w:r>
          </w:p>
        </w:tc>
        <w:tc>
          <w:tcPr>
            <w:tcW w:w="0" w:type="auto"/>
            <w:tcBorders>
              <w:top w:val="single" w:color="auto" w:sz="4" w:space="0"/>
              <w:left w:val="single" w:color="auto" w:sz="4" w:space="0"/>
              <w:bottom w:val="single" w:color="auto" w:sz="4" w:space="0"/>
              <w:right w:val="single" w:color="auto" w:sz="4" w:space="0"/>
            </w:tcBorders>
            <w:vAlign w:val="center"/>
          </w:tcPr>
          <w:p>
            <w:pPr>
              <w:pStyle w:val="32"/>
              <w:rPr>
                <w:rFonts w:eastAsia="楷体_GB2312"/>
                <w:color w:val="auto"/>
                <w:szCs w:val="21"/>
              </w:rPr>
            </w:pPr>
            <w:r>
              <w:rPr>
                <w:rFonts w:hint="eastAsia"/>
                <w:color w:val="auto"/>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3"/>
            <w:vAlign w:val="center"/>
          </w:tcPr>
          <w:p>
            <w:pPr>
              <w:pStyle w:val="32"/>
              <w:rPr>
                <w:color w:val="auto"/>
              </w:rPr>
            </w:pPr>
            <w:r>
              <w:rPr>
                <w:rFonts w:hint="eastAsia"/>
                <w:color w:val="auto"/>
                <w:lang w:val="en-US" w:eastAsia="zh-CN"/>
              </w:rPr>
              <w:t>厂界四周</w:t>
            </w:r>
            <w:r>
              <w:rPr>
                <w:rFonts w:hint="eastAsia"/>
                <w:color w:val="auto"/>
              </w:rPr>
              <w:t>执行《工业企业厂界环境噪声排放标准》</w:t>
            </w:r>
            <w:r>
              <w:rPr>
                <w:color w:val="auto"/>
              </w:rPr>
              <w:t>3</w:t>
            </w:r>
            <w:r>
              <w:rPr>
                <w:rFonts w:hint="eastAsia"/>
                <w:color w:val="auto"/>
              </w:rPr>
              <w:t>类区标准值</w:t>
            </w:r>
          </w:p>
        </w:tc>
        <w:tc>
          <w:tcPr>
            <w:tcW w:w="0" w:type="auto"/>
            <w:gridSpan w:val="2"/>
            <w:vAlign w:val="center"/>
          </w:tcPr>
          <w:p>
            <w:pPr>
              <w:pStyle w:val="32"/>
              <w:rPr>
                <w:color w:val="auto"/>
              </w:rPr>
            </w:pPr>
            <w:r>
              <w:rPr>
                <w:color w:val="auto"/>
              </w:rPr>
              <w:t>65</w:t>
            </w:r>
          </w:p>
        </w:tc>
        <w:tc>
          <w:tcPr>
            <w:tcW w:w="0" w:type="auto"/>
            <w:gridSpan w:val="2"/>
            <w:vAlign w:val="center"/>
          </w:tcPr>
          <w:p>
            <w:pPr>
              <w:pStyle w:val="32"/>
              <w:rPr>
                <w:color w:val="auto"/>
              </w:rPr>
            </w:pPr>
            <w:r>
              <w:rPr>
                <w:rFonts w:hint="eastAsia"/>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3"/>
            <w:vAlign w:val="center"/>
          </w:tcPr>
          <w:p>
            <w:pPr>
              <w:pStyle w:val="32"/>
              <w:rPr>
                <w:color w:val="auto"/>
              </w:rPr>
            </w:pPr>
            <w:r>
              <w:rPr>
                <w:rFonts w:hint="eastAsia"/>
                <w:color w:val="auto"/>
              </w:rPr>
              <w:t>达标情况</w:t>
            </w:r>
          </w:p>
        </w:tc>
        <w:tc>
          <w:tcPr>
            <w:tcW w:w="0" w:type="auto"/>
            <w:gridSpan w:val="2"/>
            <w:vAlign w:val="center"/>
          </w:tcPr>
          <w:p>
            <w:pPr>
              <w:pStyle w:val="32"/>
              <w:rPr>
                <w:color w:val="auto"/>
              </w:rPr>
            </w:pPr>
            <w:r>
              <w:rPr>
                <w:rFonts w:hint="eastAsia"/>
                <w:color w:val="auto"/>
              </w:rPr>
              <w:t>是</w:t>
            </w:r>
          </w:p>
        </w:tc>
        <w:tc>
          <w:tcPr>
            <w:tcW w:w="0" w:type="auto"/>
            <w:gridSpan w:val="2"/>
            <w:vAlign w:val="center"/>
          </w:tcPr>
          <w:p>
            <w:pPr>
              <w:pStyle w:val="32"/>
              <w:rPr>
                <w:color w:val="auto"/>
              </w:rPr>
            </w:pPr>
            <w:r>
              <w:rPr>
                <w:rFonts w:hint="eastAsia"/>
                <w:color w:val="auto"/>
              </w:rPr>
              <w:t>是</w:t>
            </w:r>
          </w:p>
        </w:tc>
      </w:tr>
    </w:tbl>
    <w:p>
      <w:pPr>
        <w:spacing w:before="156" w:beforeLines="50"/>
        <w:ind w:firstLine="480"/>
        <w:rPr>
          <w:color w:val="auto"/>
        </w:rPr>
      </w:pPr>
      <w:r>
        <w:rPr>
          <w:rFonts w:hint="eastAsia"/>
          <w:color w:val="auto"/>
        </w:rPr>
        <w:t>根据监测结果，公司厂界</w:t>
      </w:r>
      <w:r>
        <w:rPr>
          <w:rFonts w:hint="eastAsia"/>
          <w:color w:val="auto"/>
          <w:lang w:val="en-US" w:eastAsia="zh-CN"/>
        </w:rPr>
        <w:t>四周</w:t>
      </w:r>
      <w:r>
        <w:rPr>
          <w:rFonts w:hint="eastAsia"/>
          <w:color w:val="auto"/>
        </w:rPr>
        <w:t>侧昼夜噪声监测值均达到《工业企业厂界环境噪声排放标准》（GB12348-2008）中的3类区标准要求。</w:t>
      </w:r>
    </w:p>
    <w:p>
      <w:pPr>
        <w:pStyle w:val="6"/>
        <w:rPr>
          <w:color w:val="auto"/>
        </w:rPr>
      </w:pPr>
      <w:r>
        <w:rPr>
          <w:color w:val="auto"/>
        </w:rPr>
        <w:t>9.2.4固（液）体废物</w:t>
      </w:r>
    </w:p>
    <w:p>
      <w:pPr>
        <w:ind w:firstLine="480"/>
        <w:rPr>
          <w:rFonts w:cs="Times New Roman"/>
          <w:color w:val="auto"/>
        </w:rPr>
      </w:pPr>
      <w:r>
        <w:rPr>
          <w:rFonts w:cs="Times New Roman"/>
          <w:color w:val="auto"/>
        </w:rPr>
        <w:t>根据环评报告预测结果及验收期间实际调查情况</w:t>
      </w:r>
      <w:r>
        <w:rPr>
          <w:rFonts w:hint="eastAsia" w:cs="Times New Roman"/>
          <w:color w:val="auto"/>
        </w:rPr>
        <w:t>，我公司固（液）体废物</w:t>
      </w:r>
      <w:r>
        <w:rPr>
          <w:rFonts w:cs="Times New Roman"/>
          <w:color w:val="auto"/>
        </w:rPr>
        <w:t>具体</w:t>
      </w:r>
      <w:r>
        <w:rPr>
          <w:rFonts w:hint="eastAsia" w:cs="Times New Roman"/>
          <w:color w:val="auto"/>
        </w:rPr>
        <w:t>产生、处置</w:t>
      </w:r>
      <w:r>
        <w:rPr>
          <w:rFonts w:cs="Times New Roman"/>
          <w:color w:val="auto"/>
        </w:rPr>
        <w:t>情况见表9-</w:t>
      </w:r>
      <w:r>
        <w:rPr>
          <w:rFonts w:hint="eastAsia" w:cs="Times New Roman"/>
          <w:color w:val="auto"/>
        </w:rPr>
        <w:t>7所示</w:t>
      </w:r>
      <w:r>
        <w:rPr>
          <w:rFonts w:cs="Times New Roman"/>
          <w:color w:val="auto"/>
        </w:rPr>
        <w:t>。</w:t>
      </w:r>
    </w:p>
    <w:p>
      <w:pPr>
        <w:pStyle w:val="29"/>
        <w:spacing w:before="62" w:after="31"/>
        <w:rPr>
          <w:color w:val="auto"/>
        </w:rPr>
      </w:pPr>
      <w:r>
        <w:rPr>
          <w:color w:val="auto"/>
        </w:rPr>
        <w:t>表9-</w:t>
      </w:r>
      <w:r>
        <w:rPr>
          <w:rFonts w:hint="eastAsia"/>
          <w:color w:val="auto"/>
        </w:rPr>
        <w:t>7</w:t>
      </w:r>
      <w:r>
        <w:rPr>
          <w:color w:val="auto"/>
        </w:rPr>
        <w:t>固体废物监测情况明细表单位：t/a</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147"/>
        <w:gridCol w:w="934"/>
        <w:gridCol w:w="643"/>
        <w:gridCol w:w="1091"/>
        <w:gridCol w:w="1065"/>
        <w:gridCol w:w="910"/>
        <w:gridCol w:w="108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Align w:val="center"/>
          </w:tcPr>
          <w:p>
            <w:pPr>
              <w:pStyle w:val="40"/>
              <w:rPr>
                <w:b/>
                <w:bCs/>
                <w:color w:val="auto"/>
              </w:rPr>
            </w:pPr>
            <w:r>
              <w:rPr>
                <w:b/>
                <w:bCs/>
                <w:color w:val="auto"/>
              </w:rPr>
              <w:t>序号</w:t>
            </w:r>
          </w:p>
        </w:tc>
        <w:tc>
          <w:tcPr>
            <w:tcW w:w="658" w:type="pct"/>
            <w:vAlign w:val="center"/>
          </w:tcPr>
          <w:p>
            <w:pPr>
              <w:pStyle w:val="40"/>
              <w:rPr>
                <w:b/>
                <w:bCs/>
                <w:color w:val="auto"/>
              </w:rPr>
            </w:pPr>
            <w:r>
              <w:rPr>
                <w:b/>
                <w:bCs/>
                <w:color w:val="auto"/>
              </w:rPr>
              <w:t>名称</w:t>
            </w:r>
          </w:p>
        </w:tc>
        <w:tc>
          <w:tcPr>
            <w:tcW w:w="536" w:type="pct"/>
            <w:vAlign w:val="center"/>
          </w:tcPr>
          <w:p>
            <w:pPr>
              <w:pStyle w:val="40"/>
              <w:rPr>
                <w:b/>
                <w:bCs/>
                <w:color w:val="auto"/>
              </w:rPr>
            </w:pPr>
            <w:r>
              <w:rPr>
                <w:b/>
                <w:bCs/>
                <w:color w:val="auto"/>
              </w:rPr>
              <w:t>产生工序</w:t>
            </w:r>
          </w:p>
        </w:tc>
        <w:tc>
          <w:tcPr>
            <w:tcW w:w="369" w:type="pct"/>
            <w:vAlign w:val="center"/>
          </w:tcPr>
          <w:p>
            <w:pPr>
              <w:pStyle w:val="40"/>
              <w:rPr>
                <w:b/>
                <w:bCs/>
                <w:color w:val="auto"/>
              </w:rPr>
            </w:pPr>
            <w:r>
              <w:rPr>
                <w:b/>
                <w:bCs/>
                <w:color w:val="auto"/>
              </w:rPr>
              <w:t>形态</w:t>
            </w:r>
          </w:p>
        </w:tc>
        <w:tc>
          <w:tcPr>
            <w:tcW w:w="626" w:type="pct"/>
            <w:vAlign w:val="center"/>
          </w:tcPr>
          <w:p>
            <w:pPr>
              <w:pStyle w:val="40"/>
              <w:rPr>
                <w:b/>
                <w:bCs/>
                <w:color w:val="auto"/>
              </w:rPr>
            </w:pPr>
            <w:r>
              <w:rPr>
                <w:b/>
                <w:bCs/>
                <w:color w:val="auto"/>
              </w:rPr>
              <w:t>主要成分</w:t>
            </w:r>
          </w:p>
        </w:tc>
        <w:tc>
          <w:tcPr>
            <w:tcW w:w="611" w:type="pct"/>
            <w:vAlign w:val="center"/>
          </w:tcPr>
          <w:p>
            <w:pPr>
              <w:pStyle w:val="40"/>
              <w:rPr>
                <w:b/>
                <w:bCs/>
                <w:color w:val="auto"/>
              </w:rPr>
            </w:pPr>
            <w:r>
              <w:rPr>
                <w:b/>
                <w:bCs/>
                <w:color w:val="auto"/>
              </w:rPr>
              <w:t>属性</w:t>
            </w:r>
          </w:p>
        </w:tc>
        <w:tc>
          <w:tcPr>
            <w:tcW w:w="522" w:type="pct"/>
            <w:vAlign w:val="center"/>
          </w:tcPr>
          <w:p>
            <w:pPr>
              <w:pStyle w:val="40"/>
              <w:rPr>
                <w:b/>
                <w:bCs/>
                <w:color w:val="auto"/>
              </w:rPr>
            </w:pPr>
            <w:r>
              <w:rPr>
                <w:rFonts w:hint="eastAsia"/>
                <w:b/>
                <w:bCs/>
                <w:color w:val="auto"/>
              </w:rPr>
              <w:t>环评预测产生量</w:t>
            </w:r>
          </w:p>
        </w:tc>
        <w:tc>
          <w:tcPr>
            <w:tcW w:w="620" w:type="pct"/>
            <w:vAlign w:val="center"/>
          </w:tcPr>
          <w:p>
            <w:pPr>
              <w:pStyle w:val="40"/>
              <w:rPr>
                <w:b/>
                <w:bCs/>
                <w:color w:val="auto"/>
              </w:rPr>
            </w:pPr>
            <w:r>
              <w:rPr>
                <w:rFonts w:hint="eastAsia"/>
                <w:b/>
                <w:bCs/>
                <w:color w:val="auto"/>
              </w:rPr>
              <w:t>实际产生量</w:t>
            </w:r>
          </w:p>
        </w:tc>
        <w:tc>
          <w:tcPr>
            <w:tcW w:w="715" w:type="pct"/>
            <w:vAlign w:val="center"/>
          </w:tcPr>
          <w:p>
            <w:pPr>
              <w:pStyle w:val="40"/>
              <w:rPr>
                <w:b/>
                <w:bCs/>
                <w:color w:val="auto"/>
              </w:rPr>
            </w:pPr>
            <w:r>
              <w:rPr>
                <w:b/>
                <w:bCs/>
                <w:color w:val="auto"/>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Align w:val="center"/>
          </w:tcPr>
          <w:p>
            <w:pPr>
              <w:pStyle w:val="40"/>
              <w:rPr>
                <w:color w:val="auto"/>
              </w:rPr>
            </w:pPr>
            <w:r>
              <w:rPr>
                <w:color w:val="auto"/>
              </w:rPr>
              <w:t>1</w:t>
            </w:r>
          </w:p>
        </w:tc>
        <w:tc>
          <w:tcPr>
            <w:tcW w:w="658"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废包装材料</w:t>
            </w:r>
          </w:p>
        </w:tc>
        <w:tc>
          <w:tcPr>
            <w:tcW w:w="53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原料使用</w:t>
            </w:r>
          </w:p>
        </w:tc>
        <w:tc>
          <w:tcPr>
            <w:tcW w:w="369"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2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塑料膜、袋</w:t>
            </w:r>
          </w:p>
        </w:tc>
        <w:tc>
          <w:tcPr>
            <w:tcW w:w="61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22" w:type="pct"/>
            <w:vAlign w:val="center"/>
          </w:tcPr>
          <w:p>
            <w:pPr>
              <w:pStyle w:val="40"/>
              <w:rPr>
                <w:color w:val="auto"/>
              </w:rPr>
            </w:pPr>
            <w:r>
              <w:rPr>
                <w:rFonts w:hint="eastAsia"/>
                <w:color w:val="auto"/>
              </w:rPr>
              <w:t>2</w:t>
            </w:r>
          </w:p>
        </w:tc>
        <w:tc>
          <w:tcPr>
            <w:tcW w:w="620" w:type="pct"/>
            <w:vAlign w:val="center"/>
          </w:tcPr>
          <w:p>
            <w:pPr>
              <w:pStyle w:val="40"/>
              <w:rPr>
                <w:rFonts w:hint="eastAsia" w:eastAsiaTheme="minorEastAsia"/>
                <w:color w:val="auto"/>
                <w:lang w:eastAsia="zh-CN"/>
              </w:rPr>
            </w:pPr>
            <w:r>
              <w:rPr>
                <w:rFonts w:hint="eastAsia"/>
                <w:color w:val="auto"/>
                <w:lang w:val="en-US" w:eastAsia="zh-CN"/>
              </w:rPr>
              <w:t>2</w:t>
            </w:r>
          </w:p>
        </w:tc>
        <w:tc>
          <w:tcPr>
            <w:tcW w:w="715" w:type="pct"/>
            <w:vMerge w:val="restart"/>
            <w:vAlign w:val="center"/>
          </w:tcPr>
          <w:p>
            <w:pPr>
              <w:pStyle w:val="40"/>
              <w:rPr>
                <w:color w:val="auto"/>
              </w:rPr>
            </w:pPr>
            <w:r>
              <w:rPr>
                <w:rFonts w:hint="eastAsia"/>
                <w:color w:val="auto"/>
              </w:rPr>
              <w:t>外卖综合利用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Align w:val="center"/>
          </w:tcPr>
          <w:p>
            <w:pPr>
              <w:pStyle w:val="40"/>
              <w:rPr>
                <w:color w:val="auto"/>
              </w:rPr>
            </w:pPr>
            <w:r>
              <w:rPr>
                <w:rFonts w:hint="eastAsia"/>
                <w:color w:val="auto"/>
              </w:rPr>
              <w:t>2</w:t>
            </w:r>
          </w:p>
        </w:tc>
        <w:tc>
          <w:tcPr>
            <w:tcW w:w="658" w:type="pct"/>
            <w:tcBorders>
              <w:top w:val="single" w:color="auto" w:sz="4" w:space="0"/>
              <w:left w:val="single" w:color="auto" w:sz="4" w:space="0"/>
              <w:bottom w:val="single" w:color="auto" w:sz="4" w:space="0"/>
              <w:right w:val="single" w:color="auto" w:sz="4" w:space="0"/>
            </w:tcBorders>
            <w:vAlign w:val="center"/>
          </w:tcPr>
          <w:p>
            <w:pPr>
              <w:pStyle w:val="40"/>
              <w:rPr>
                <w:bCs/>
                <w:color w:val="auto"/>
              </w:rPr>
            </w:pPr>
            <w:r>
              <w:rPr>
                <w:rFonts w:hint="eastAsia"/>
                <w:bCs/>
                <w:color w:val="auto"/>
              </w:rPr>
              <w:t>废丝</w:t>
            </w:r>
          </w:p>
        </w:tc>
        <w:tc>
          <w:tcPr>
            <w:tcW w:w="53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生产过程</w:t>
            </w:r>
          </w:p>
        </w:tc>
        <w:tc>
          <w:tcPr>
            <w:tcW w:w="369" w:type="pct"/>
            <w:tcBorders>
              <w:top w:val="single" w:color="auto" w:sz="4" w:space="0"/>
              <w:left w:val="single" w:color="auto" w:sz="4" w:space="0"/>
              <w:bottom w:val="single" w:color="auto" w:sz="4" w:space="0"/>
              <w:right w:val="single" w:color="auto" w:sz="4" w:space="0"/>
            </w:tcBorders>
            <w:vAlign w:val="center"/>
          </w:tcPr>
          <w:p>
            <w:pPr>
              <w:pStyle w:val="40"/>
              <w:rPr>
                <w:bCs/>
                <w:color w:val="auto"/>
              </w:rPr>
            </w:pPr>
            <w:r>
              <w:rPr>
                <w:rFonts w:hint="eastAsia"/>
                <w:color w:val="auto"/>
              </w:rPr>
              <w:t>固态</w:t>
            </w:r>
          </w:p>
        </w:tc>
        <w:tc>
          <w:tcPr>
            <w:tcW w:w="62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废丝</w:t>
            </w:r>
          </w:p>
        </w:tc>
        <w:tc>
          <w:tcPr>
            <w:tcW w:w="61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22" w:type="pct"/>
            <w:vAlign w:val="center"/>
          </w:tcPr>
          <w:p>
            <w:pPr>
              <w:pStyle w:val="40"/>
              <w:rPr>
                <w:bCs/>
                <w:color w:val="auto"/>
              </w:rPr>
            </w:pPr>
            <w:r>
              <w:rPr>
                <w:rFonts w:hint="eastAsia"/>
                <w:bCs/>
                <w:color w:val="auto"/>
              </w:rPr>
              <w:t>1</w:t>
            </w:r>
          </w:p>
        </w:tc>
        <w:tc>
          <w:tcPr>
            <w:tcW w:w="620" w:type="pct"/>
            <w:vAlign w:val="center"/>
          </w:tcPr>
          <w:p>
            <w:pPr>
              <w:pStyle w:val="40"/>
              <w:rPr>
                <w:rFonts w:hint="eastAsia" w:eastAsiaTheme="minorEastAsia"/>
                <w:bCs/>
                <w:color w:val="auto"/>
                <w:lang w:eastAsia="zh-CN"/>
              </w:rPr>
            </w:pPr>
            <w:r>
              <w:rPr>
                <w:rFonts w:hint="eastAsia"/>
                <w:bCs/>
                <w:color w:val="auto"/>
                <w:lang w:val="en-US" w:eastAsia="zh-CN"/>
              </w:rPr>
              <w:t>1</w:t>
            </w:r>
          </w:p>
        </w:tc>
        <w:tc>
          <w:tcPr>
            <w:tcW w:w="715" w:type="pct"/>
            <w:vMerge w:val="continue"/>
            <w:vAlign w:val="center"/>
          </w:tcPr>
          <w:p>
            <w:pPr>
              <w:pStyle w:val="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Align w:val="center"/>
          </w:tcPr>
          <w:p>
            <w:pPr>
              <w:pStyle w:val="40"/>
              <w:rPr>
                <w:color w:val="auto"/>
              </w:rPr>
            </w:pPr>
            <w:r>
              <w:rPr>
                <w:rFonts w:hint="eastAsia"/>
                <w:color w:val="auto"/>
              </w:rPr>
              <w:t>3</w:t>
            </w:r>
          </w:p>
        </w:tc>
        <w:tc>
          <w:tcPr>
            <w:tcW w:w="658" w:type="pct"/>
            <w:tcBorders>
              <w:top w:val="single" w:color="auto" w:sz="4" w:space="0"/>
              <w:left w:val="single" w:color="auto" w:sz="4" w:space="0"/>
              <w:bottom w:val="single" w:color="auto" w:sz="4" w:space="0"/>
              <w:right w:val="single" w:color="auto" w:sz="4" w:space="0"/>
            </w:tcBorders>
            <w:vAlign w:val="center"/>
          </w:tcPr>
          <w:p>
            <w:pPr>
              <w:pStyle w:val="40"/>
              <w:rPr>
                <w:bCs/>
                <w:color w:val="auto"/>
              </w:rPr>
            </w:pPr>
            <w:r>
              <w:rPr>
                <w:rFonts w:hint="eastAsia"/>
                <w:bCs/>
                <w:color w:val="auto"/>
              </w:rPr>
              <w:t>收集的纤维粉尘</w:t>
            </w:r>
          </w:p>
        </w:tc>
        <w:tc>
          <w:tcPr>
            <w:tcW w:w="53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生产过程</w:t>
            </w:r>
          </w:p>
        </w:tc>
        <w:tc>
          <w:tcPr>
            <w:tcW w:w="369"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2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收集的纤维粉尘</w:t>
            </w:r>
          </w:p>
        </w:tc>
        <w:tc>
          <w:tcPr>
            <w:tcW w:w="61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22" w:type="pct"/>
            <w:vAlign w:val="center"/>
          </w:tcPr>
          <w:p>
            <w:pPr>
              <w:pStyle w:val="40"/>
              <w:rPr>
                <w:bCs/>
                <w:color w:val="auto"/>
              </w:rPr>
            </w:pPr>
            <w:r>
              <w:rPr>
                <w:rFonts w:hint="eastAsia"/>
                <w:bCs/>
                <w:color w:val="auto"/>
              </w:rPr>
              <w:t>1.2</w:t>
            </w:r>
          </w:p>
        </w:tc>
        <w:tc>
          <w:tcPr>
            <w:tcW w:w="620" w:type="pct"/>
            <w:vAlign w:val="center"/>
          </w:tcPr>
          <w:p>
            <w:pPr>
              <w:pStyle w:val="40"/>
              <w:rPr>
                <w:rFonts w:hint="default" w:eastAsiaTheme="minorEastAsia"/>
                <w:bCs/>
                <w:color w:val="auto"/>
                <w:lang w:val="en-US" w:eastAsia="zh-CN"/>
              </w:rPr>
            </w:pPr>
            <w:r>
              <w:rPr>
                <w:rFonts w:hint="eastAsia"/>
                <w:bCs/>
                <w:color w:val="auto"/>
                <w:lang w:val="en-US" w:eastAsia="zh-CN"/>
              </w:rPr>
              <w:t>1.2</w:t>
            </w:r>
          </w:p>
        </w:tc>
        <w:tc>
          <w:tcPr>
            <w:tcW w:w="715" w:type="pct"/>
            <w:vMerge w:val="continue"/>
            <w:vAlign w:val="center"/>
          </w:tcPr>
          <w:p>
            <w:pPr>
              <w:pStyle w:val="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Align w:val="center"/>
          </w:tcPr>
          <w:p>
            <w:pPr>
              <w:pStyle w:val="40"/>
              <w:rPr>
                <w:color w:val="auto"/>
              </w:rPr>
            </w:pPr>
            <w:r>
              <w:rPr>
                <w:rFonts w:hint="eastAsia"/>
                <w:color w:val="auto"/>
              </w:rPr>
              <w:t>4</w:t>
            </w:r>
          </w:p>
        </w:tc>
        <w:tc>
          <w:tcPr>
            <w:tcW w:w="658"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生活垃圾</w:t>
            </w:r>
          </w:p>
        </w:tc>
        <w:tc>
          <w:tcPr>
            <w:tcW w:w="53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职工生活</w:t>
            </w:r>
          </w:p>
        </w:tc>
        <w:tc>
          <w:tcPr>
            <w:tcW w:w="369"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固态</w:t>
            </w:r>
          </w:p>
        </w:tc>
        <w:tc>
          <w:tcPr>
            <w:tcW w:w="626"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生活垃圾</w:t>
            </w:r>
          </w:p>
        </w:tc>
        <w:tc>
          <w:tcPr>
            <w:tcW w:w="611" w:type="pct"/>
            <w:tcBorders>
              <w:top w:val="single" w:color="auto" w:sz="4" w:space="0"/>
              <w:left w:val="single" w:color="auto" w:sz="4" w:space="0"/>
              <w:bottom w:val="single" w:color="auto" w:sz="4" w:space="0"/>
              <w:right w:val="single" w:color="auto" w:sz="4" w:space="0"/>
            </w:tcBorders>
            <w:vAlign w:val="center"/>
          </w:tcPr>
          <w:p>
            <w:pPr>
              <w:pStyle w:val="40"/>
              <w:rPr>
                <w:color w:val="auto"/>
              </w:rPr>
            </w:pPr>
            <w:r>
              <w:rPr>
                <w:rFonts w:hint="eastAsia"/>
                <w:color w:val="auto"/>
              </w:rPr>
              <w:t>一般固废</w:t>
            </w:r>
          </w:p>
        </w:tc>
        <w:tc>
          <w:tcPr>
            <w:tcW w:w="522" w:type="pct"/>
            <w:vAlign w:val="center"/>
          </w:tcPr>
          <w:p>
            <w:pPr>
              <w:pStyle w:val="40"/>
              <w:rPr>
                <w:color w:val="auto"/>
              </w:rPr>
            </w:pPr>
            <w:r>
              <w:rPr>
                <w:rFonts w:hint="eastAsia"/>
                <w:color w:val="auto"/>
              </w:rPr>
              <w:t>18</w:t>
            </w:r>
          </w:p>
        </w:tc>
        <w:tc>
          <w:tcPr>
            <w:tcW w:w="620" w:type="pct"/>
            <w:vAlign w:val="center"/>
          </w:tcPr>
          <w:p>
            <w:pPr>
              <w:pStyle w:val="40"/>
              <w:rPr>
                <w:color w:val="auto"/>
              </w:rPr>
            </w:pPr>
            <w:r>
              <w:rPr>
                <w:rFonts w:hint="eastAsia"/>
                <w:color w:val="auto"/>
              </w:rPr>
              <w:t>17.8</w:t>
            </w:r>
          </w:p>
        </w:tc>
        <w:tc>
          <w:tcPr>
            <w:tcW w:w="715" w:type="pct"/>
            <w:vAlign w:val="center"/>
          </w:tcPr>
          <w:p>
            <w:pPr>
              <w:pStyle w:val="40"/>
              <w:rPr>
                <w:color w:val="auto"/>
              </w:rPr>
            </w:pPr>
            <w:r>
              <w:rPr>
                <w:rFonts w:hint="eastAsia"/>
                <w:color w:val="auto"/>
              </w:rPr>
              <w:t>委托环卫部门统一清运</w:t>
            </w:r>
          </w:p>
        </w:tc>
      </w:tr>
    </w:tbl>
    <w:p>
      <w:pPr>
        <w:spacing w:before="156" w:beforeLines="50"/>
        <w:ind w:firstLine="480"/>
        <w:rPr>
          <w:color w:val="auto"/>
        </w:rPr>
      </w:pPr>
      <w:r>
        <w:rPr>
          <w:color w:val="auto"/>
        </w:rPr>
        <w:t>固体废物的贮存和处置满足《中华人民共和国固体废物污染环境防治法（20</w:t>
      </w:r>
      <w:r>
        <w:rPr>
          <w:rFonts w:hint="eastAsia"/>
          <w:color w:val="auto"/>
        </w:rPr>
        <w:t>20</w:t>
      </w:r>
      <w:r>
        <w:rPr>
          <w:color w:val="auto"/>
        </w:rPr>
        <w:t>年修正）》</w:t>
      </w:r>
      <w:r>
        <w:rPr>
          <w:rFonts w:hint="eastAsia"/>
          <w:color w:val="auto"/>
        </w:rPr>
        <w:t>、</w:t>
      </w:r>
      <w:r>
        <w:rPr>
          <w:color w:val="auto"/>
        </w:rPr>
        <w:t>《浙江省固体废物污染环境防治条例》</w:t>
      </w:r>
      <w:r>
        <w:rPr>
          <w:rFonts w:hint="eastAsia"/>
          <w:color w:val="auto"/>
        </w:rPr>
        <w:t>以及</w:t>
      </w:r>
      <w:r>
        <w:rPr>
          <w:color w:val="auto"/>
        </w:rPr>
        <w:t>《</w:t>
      </w:r>
      <w:r>
        <w:rPr>
          <w:rFonts w:hint="eastAsia"/>
          <w:color w:val="auto"/>
        </w:rPr>
        <w:t>一般工业固体废物贮存和填埋污染控制标准</w:t>
      </w:r>
      <w:r>
        <w:rPr>
          <w:color w:val="auto"/>
        </w:rPr>
        <w:t>》（GB18599-2020）中</w:t>
      </w:r>
      <w:r>
        <w:rPr>
          <w:rFonts w:hint="eastAsia"/>
          <w:color w:val="auto"/>
        </w:rPr>
        <w:t>相应防渗漏、防雨淋、防扬尘等环境保护要求的有关规定</w:t>
      </w:r>
      <w:r>
        <w:rPr>
          <w:color w:val="auto"/>
        </w:rPr>
        <w:t>。</w:t>
      </w:r>
    </w:p>
    <w:p>
      <w:pPr>
        <w:pStyle w:val="6"/>
        <w:rPr>
          <w:color w:val="auto"/>
        </w:rPr>
      </w:pPr>
      <w:r>
        <w:rPr>
          <w:rFonts w:hint="eastAsia"/>
          <w:color w:val="auto"/>
        </w:rPr>
        <w:t>9.2.</w:t>
      </w:r>
      <w:r>
        <w:rPr>
          <w:color w:val="auto"/>
        </w:rPr>
        <w:t>5污染物总量核算</w:t>
      </w:r>
    </w:p>
    <w:p>
      <w:pPr>
        <w:ind w:firstLine="480"/>
        <w:rPr>
          <w:rFonts w:cs="Times New Roman"/>
          <w:color w:val="auto"/>
        </w:rPr>
      </w:pPr>
      <w:r>
        <w:rPr>
          <w:rFonts w:cs="Times New Roman"/>
          <w:bCs/>
          <w:color w:val="auto"/>
        </w:rPr>
        <w:t>本项目总量控制指标主要为</w:t>
      </w:r>
      <w:r>
        <w:rPr>
          <w:rFonts w:eastAsia="宋体" w:cs="Times New Roman"/>
          <w:color w:val="auto"/>
        </w:rPr>
        <w:t>COD</w:t>
      </w:r>
      <w:r>
        <w:rPr>
          <w:rFonts w:eastAsia="宋体" w:cs="Times New Roman"/>
          <w:color w:val="auto"/>
          <w:vertAlign w:val="subscript"/>
        </w:rPr>
        <w:t>Cr</w:t>
      </w:r>
      <w:r>
        <w:rPr>
          <w:rFonts w:hint="eastAsia" w:eastAsia="宋体" w:cs="Times New Roman"/>
          <w:color w:val="auto"/>
        </w:rPr>
        <w:t>、</w:t>
      </w:r>
      <w:r>
        <w:rPr>
          <w:rFonts w:eastAsia="宋体" w:cs="Times New Roman"/>
          <w:color w:val="auto"/>
        </w:rPr>
        <w:t>NH</w:t>
      </w:r>
      <w:r>
        <w:rPr>
          <w:rFonts w:eastAsia="宋体" w:cs="Times New Roman"/>
          <w:color w:val="auto"/>
          <w:vertAlign w:val="subscript"/>
        </w:rPr>
        <w:t>3</w:t>
      </w:r>
      <w:r>
        <w:rPr>
          <w:rFonts w:eastAsia="宋体" w:cs="Times New Roman"/>
          <w:color w:val="auto"/>
        </w:rPr>
        <w:t>-N</w:t>
      </w:r>
      <w:r>
        <w:rPr>
          <w:rFonts w:hint="eastAsia" w:cs="Times New Roman"/>
          <w:color w:val="auto"/>
        </w:rPr>
        <w:t>，颗粒物总量核算如下：</w:t>
      </w:r>
    </w:p>
    <w:p>
      <w:pPr>
        <w:pStyle w:val="8"/>
        <w:ind w:firstLine="480"/>
        <w:rPr>
          <w:rFonts w:cs="Times New Roman"/>
          <w:bCs/>
          <w:color w:val="auto"/>
        </w:rPr>
      </w:pPr>
      <w:r>
        <w:rPr>
          <w:rFonts w:hint="eastAsia" w:cs="Times New Roman"/>
          <w:bCs/>
          <w:color w:val="auto"/>
        </w:rPr>
        <w:t>公司生产过程中不产生生产废水，仅产生职工生活污水，经化粪池、隔油池预处理后</w:t>
      </w:r>
      <w:r>
        <w:rPr>
          <w:rFonts w:cs="Times New Roman"/>
          <w:bCs/>
          <w:color w:val="auto"/>
        </w:rPr>
        <w:t>排放总量</w:t>
      </w:r>
      <w:r>
        <w:rPr>
          <w:rFonts w:hint="eastAsia" w:cs="Times New Roman"/>
          <w:bCs/>
          <w:color w:val="auto"/>
        </w:rPr>
        <w:t>约</w:t>
      </w:r>
      <w:r>
        <w:rPr>
          <w:rFonts w:cs="Times New Roman"/>
          <w:bCs/>
          <w:color w:val="auto"/>
        </w:rPr>
        <w:t>为</w:t>
      </w:r>
      <w:r>
        <w:rPr>
          <w:rFonts w:hint="eastAsia" w:cs="Times New Roman"/>
          <w:bCs/>
          <w:color w:val="auto"/>
        </w:rPr>
        <w:t>2268t</w:t>
      </w:r>
      <w:r>
        <w:rPr>
          <w:rFonts w:cs="Times New Roman"/>
          <w:bCs/>
          <w:color w:val="auto"/>
        </w:rPr>
        <w:t>/a，入网废水经</w:t>
      </w:r>
      <w:r>
        <w:rPr>
          <w:rFonts w:hint="eastAsia" w:cs="Times New Roman"/>
          <w:bCs/>
          <w:color w:val="auto"/>
        </w:rPr>
        <w:t>桐乡市城市污水处理有限责任公司</w:t>
      </w:r>
      <w:r>
        <w:rPr>
          <w:rFonts w:cs="Times New Roman"/>
          <w:bCs/>
          <w:color w:val="auto"/>
        </w:rPr>
        <w:t>集中处理后达标排放，</w:t>
      </w:r>
      <w:r>
        <w:rPr>
          <w:rFonts w:hint="eastAsia" w:cs="Times New Roman"/>
          <w:bCs/>
          <w:color w:val="auto"/>
        </w:rPr>
        <w:t>排放</w:t>
      </w:r>
      <w:r>
        <w:rPr>
          <w:rFonts w:cs="Times New Roman"/>
          <w:bCs/>
          <w:color w:val="auto"/>
        </w:rPr>
        <w:t>标准为</w:t>
      </w:r>
      <w:r>
        <w:rPr>
          <w:rFonts w:hint="eastAsia" w:cs="Times New Roman"/>
          <w:bCs/>
          <w:color w:val="auto"/>
        </w:rPr>
        <w:t>《城镇污水处理厂污染物排放标准》（GB</w:t>
      </w:r>
      <w:r>
        <w:rPr>
          <w:rFonts w:cs="Times New Roman"/>
          <w:bCs/>
          <w:color w:val="auto"/>
        </w:rPr>
        <w:t>18918-2002</w:t>
      </w:r>
      <w:r>
        <w:rPr>
          <w:rFonts w:hint="eastAsia" w:cs="Times New Roman"/>
          <w:bCs/>
          <w:color w:val="auto"/>
        </w:rPr>
        <w:t>）表1中的一级A标准（即</w:t>
      </w:r>
      <w:r>
        <w:rPr>
          <w:rFonts w:cs="Times New Roman"/>
          <w:bCs/>
          <w:color w:val="auto"/>
        </w:rPr>
        <w:t>COD</w:t>
      </w:r>
      <w:r>
        <w:rPr>
          <w:rFonts w:cs="Times New Roman"/>
          <w:bCs/>
          <w:color w:val="auto"/>
          <w:vertAlign w:val="subscript"/>
        </w:rPr>
        <w:t>Cr</w:t>
      </w:r>
      <w:r>
        <w:rPr>
          <w:rFonts w:cs="Times New Roman"/>
          <w:bCs/>
          <w:color w:val="auto"/>
        </w:rPr>
        <w:t>≤50mg/L、NH</w:t>
      </w:r>
      <w:r>
        <w:rPr>
          <w:rFonts w:cs="Times New Roman"/>
          <w:bCs/>
          <w:color w:val="auto"/>
          <w:vertAlign w:val="subscript"/>
        </w:rPr>
        <w:t>3</w:t>
      </w:r>
      <w:r>
        <w:rPr>
          <w:rFonts w:cs="Times New Roman"/>
          <w:bCs/>
          <w:color w:val="auto"/>
        </w:rPr>
        <w:t>-N≤5mg/L</w:t>
      </w:r>
      <w:r>
        <w:rPr>
          <w:rFonts w:hint="eastAsia" w:cs="Times New Roman"/>
          <w:bCs/>
          <w:color w:val="auto"/>
        </w:rPr>
        <w:t>）</w:t>
      </w:r>
      <w:r>
        <w:rPr>
          <w:rFonts w:cs="Times New Roman"/>
          <w:bCs/>
          <w:color w:val="auto"/>
        </w:rPr>
        <w:t>，则</w:t>
      </w:r>
      <w:r>
        <w:rPr>
          <w:rFonts w:hint="eastAsia" w:cs="Times New Roman"/>
          <w:bCs/>
          <w:color w:val="auto"/>
        </w:rPr>
        <w:t>公司全厂水污染物</w:t>
      </w:r>
      <w:r>
        <w:rPr>
          <w:rFonts w:cs="Times New Roman"/>
          <w:bCs/>
          <w:color w:val="auto"/>
        </w:rPr>
        <w:t>排入外环境的总量分别是：</w:t>
      </w:r>
      <w:r>
        <w:rPr>
          <w:rFonts w:hint="eastAsia" w:cs="Times New Roman"/>
          <w:bCs/>
          <w:color w:val="auto"/>
        </w:rPr>
        <w:t>C</w:t>
      </w:r>
      <w:r>
        <w:rPr>
          <w:rFonts w:cs="Times New Roman"/>
          <w:bCs/>
          <w:color w:val="auto"/>
        </w:rPr>
        <w:t>OD</w:t>
      </w:r>
      <w:r>
        <w:rPr>
          <w:rFonts w:cs="Times New Roman"/>
          <w:bCs/>
          <w:color w:val="auto"/>
          <w:vertAlign w:val="subscript"/>
        </w:rPr>
        <w:t>Cr</w:t>
      </w:r>
      <w:r>
        <w:rPr>
          <w:rFonts w:cs="Times New Roman"/>
          <w:bCs/>
          <w:color w:val="auto"/>
        </w:rPr>
        <w:t>为0.</w:t>
      </w:r>
      <w:r>
        <w:rPr>
          <w:rFonts w:hint="eastAsia" w:cs="Times New Roman"/>
          <w:bCs/>
          <w:color w:val="auto"/>
        </w:rPr>
        <w:t>113</w:t>
      </w:r>
      <w:r>
        <w:rPr>
          <w:rFonts w:cs="Times New Roman"/>
          <w:bCs/>
          <w:color w:val="auto"/>
        </w:rPr>
        <w:t>t/a、NH</w:t>
      </w:r>
      <w:r>
        <w:rPr>
          <w:rFonts w:cs="Times New Roman"/>
          <w:bCs/>
          <w:color w:val="auto"/>
          <w:vertAlign w:val="subscript"/>
        </w:rPr>
        <w:t>3</w:t>
      </w:r>
      <w:r>
        <w:rPr>
          <w:rFonts w:cs="Times New Roman"/>
          <w:bCs/>
          <w:color w:val="auto"/>
        </w:rPr>
        <w:t>-N为0.</w:t>
      </w:r>
      <w:r>
        <w:rPr>
          <w:rFonts w:hint="eastAsia" w:cs="Times New Roman"/>
          <w:bCs/>
          <w:color w:val="auto"/>
        </w:rPr>
        <w:t>011</w:t>
      </w:r>
      <w:r>
        <w:rPr>
          <w:rFonts w:cs="Times New Roman"/>
          <w:bCs/>
          <w:color w:val="auto"/>
        </w:rPr>
        <w:t>t/a</w:t>
      </w:r>
      <w:r>
        <w:rPr>
          <w:rFonts w:hint="eastAsia" w:cs="Times New Roman"/>
          <w:bCs/>
          <w:color w:val="auto"/>
        </w:rPr>
        <w:t>，</w:t>
      </w:r>
      <w:r>
        <w:rPr>
          <w:rFonts w:hint="eastAsia"/>
          <w:color w:val="auto"/>
        </w:rPr>
        <w:t>在</w:t>
      </w:r>
      <w:r>
        <w:rPr>
          <w:color w:val="auto"/>
        </w:rPr>
        <w:t>环评报告中全厂</w:t>
      </w:r>
      <w:r>
        <w:rPr>
          <w:rFonts w:hint="eastAsia" w:cs="Times New Roman"/>
          <w:bCs/>
          <w:color w:val="auto"/>
        </w:rPr>
        <w:t>C</w:t>
      </w:r>
      <w:r>
        <w:rPr>
          <w:rFonts w:cs="Times New Roman"/>
          <w:bCs/>
          <w:color w:val="auto"/>
        </w:rPr>
        <w:t>OD</w:t>
      </w:r>
      <w:r>
        <w:rPr>
          <w:rFonts w:cs="Times New Roman"/>
          <w:bCs/>
          <w:color w:val="auto"/>
          <w:vertAlign w:val="subscript"/>
        </w:rPr>
        <w:t>Cr</w:t>
      </w:r>
      <w:r>
        <w:rPr>
          <w:rFonts w:hint="eastAsia"/>
          <w:color w:val="auto"/>
        </w:rPr>
        <w:t>的</w:t>
      </w:r>
      <w:r>
        <w:rPr>
          <w:color w:val="auto"/>
        </w:rPr>
        <w:t>达标排放量</w:t>
      </w:r>
      <w:r>
        <w:rPr>
          <w:rFonts w:hint="eastAsia"/>
          <w:color w:val="auto"/>
        </w:rPr>
        <w:t>0.162</w:t>
      </w:r>
      <w:r>
        <w:rPr>
          <w:color w:val="auto"/>
        </w:rPr>
        <w:t>t/a之内</w:t>
      </w:r>
      <w:r>
        <w:rPr>
          <w:rFonts w:hint="eastAsia"/>
          <w:color w:val="auto"/>
        </w:rPr>
        <w:t>、</w:t>
      </w:r>
      <w:r>
        <w:rPr>
          <w:rFonts w:cs="Times New Roman"/>
          <w:bCs/>
          <w:color w:val="auto"/>
        </w:rPr>
        <w:t>NH</w:t>
      </w:r>
      <w:r>
        <w:rPr>
          <w:rFonts w:cs="Times New Roman"/>
          <w:bCs/>
          <w:color w:val="auto"/>
          <w:vertAlign w:val="subscript"/>
        </w:rPr>
        <w:t>3</w:t>
      </w:r>
      <w:r>
        <w:rPr>
          <w:rFonts w:cs="Times New Roman"/>
          <w:bCs/>
          <w:color w:val="auto"/>
        </w:rPr>
        <w:t>-N</w:t>
      </w:r>
      <w:r>
        <w:rPr>
          <w:rFonts w:hint="eastAsia"/>
          <w:color w:val="auto"/>
        </w:rPr>
        <w:t>的</w:t>
      </w:r>
      <w:r>
        <w:rPr>
          <w:color w:val="auto"/>
        </w:rPr>
        <w:t>达标排放量</w:t>
      </w:r>
      <w:r>
        <w:rPr>
          <w:rFonts w:hint="eastAsia"/>
          <w:color w:val="auto"/>
        </w:rPr>
        <w:t>0.016</w:t>
      </w:r>
      <w:r>
        <w:rPr>
          <w:color w:val="auto"/>
        </w:rPr>
        <w:t>t/a之内</w:t>
      </w:r>
      <w:r>
        <w:rPr>
          <w:rFonts w:hint="eastAsia"/>
          <w:color w:val="auto"/>
        </w:rPr>
        <w:t>，</w:t>
      </w:r>
      <w:r>
        <w:rPr>
          <w:rFonts w:cs="Times New Roman"/>
          <w:bCs/>
          <w:color w:val="auto"/>
        </w:rPr>
        <w:t>符合总量控制要求。</w:t>
      </w:r>
    </w:p>
    <w:p>
      <w:pPr>
        <w:pStyle w:val="8"/>
        <w:ind w:firstLine="480"/>
        <w:rPr>
          <w:rFonts w:cs="Times New Roman"/>
          <w:bCs/>
          <w:color w:val="auto"/>
        </w:rPr>
      </w:pPr>
      <w:r>
        <w:rPr>
          <w:rFonts w:cs="Times New Roman"/>
          <w:bCs/>
          <w:color w:val="auto"/>
        </w:rPr>
        <w:t>公司</w:t>
      </w:r>
      <w:r>
        <w:rPr>
          <w:rFonts w:hint="eastAsia" w:cs="Times New Roman"/>
          <w:bCs/>
          <w:color w:val="auto"/>
        </w:rPr>
        <w:t>颗粒物</w:t>
      </w:r>
      <w:r>
        <w:rPr>
          <w:rFonts w:cs="Times New Roman"/>
          <w:bCs/>
          <w:color w:val="auto"/>
        </w:rPr>
        <w:t>经废气治理设施处理后排放浓度为</w:t>
      </w:r>
      <w:r>
        <w:rPr>
          <w:rFonts w:hint="eastAsia" w:cs="Times New Roman"/>
          <w:bCs/>
          <w:color w:val="auto"/>
        </w:rPr>
        <w:t>＜1.0</w:t>
      </w:r>
      <w:r>
        <w:rPr>
          <w:rFonts w:cs="Times New Roman"/>
          <w:bCs/>
          <w:color w:val="auto"/>
        </w:rPr>
        <w:t>mg/m</w:t>
      </w:r>
      <w:r>
        <w:rPr>
          <w:rFonts w:cs="Times New Roman"/>
          <w:bCs/>
          <w:color w:val="auto"/>
          <w:vertAlign w:val="superscript"/>
        </w:rPr>
        <w:t>3</w:t>
      </w:r>
      <w:r>
        <w:rPr>
          <w:rFonts w:cs="Times New Roman"/>
          <w:bCs/>
          <w:color w:val="auto"/>
        </w:rPr>
        <w:t>，</w:t>
      </w:r>
      <w:r>
        <w:rPr>
          <w:rFonts w:hint="eastAsia" w:cs="Times New Roman"/>
          <w:bCs/>
          <w:color w:val="auto"/>
        </w:rPr>
        <w:t>平均排放速率</w:t>
      </w:r>
      <w:r>
        <w:rPr>
          <w:rFonts w:cs="Times New Roman"/>
          <w:bCs/>
          <w:color w:val="auto"/>
        </w:rPr>
        <w:t>为</w:t>
      </w:r>
      <w:r>
        <w:rPr>
          <w:rFonts w:hint="eastAsia" w:cs="Times New Roman"/>
          <w:bCs/>
          <w:color w:val="auto"/>
        </w:rPr>
        <w:t>0.003kg</w:t>
      </w:r>
      <w:r>
        <w:rPr>
          <w:rFonts w:cs="Times New Roman"/>
          <w:bCs/>
          <w:color w:val="auto"/>
        </w:rPr>
        <w:t>/h，废气治理设施运行时间为</w:t>
      </w:r>
      <w:r>
        <w:rPr>
          <w:rFonts w:hint="eastAsia" w:cs="Times New Roman"/>
          <w:bCs/>
          <w:color w:val="auto"/>
        </w:rPr>
        <w:t>7200</w:t>
      </w:r>
      <w:r>
        <w:rPr>
          <w:rFonts w:cs="Times New Roman"/>
          <w:bCs/>
          <w:color w:val="auto"/>
        </w:rPr>
        <w:t>h，则公司</w:t>
      </w:r>
      <w:r>
        <w:rPr>
          <w:rFonts w:hint="eastAsia" w:cs="Times New Roman"/>
          <w:bCs/>
          <w:color w:val="auto"/>
        </w:rPr>
        <w:t>颗粒物</w:t>
      </w:r>
      <w:r>
        <w:rPr>
          <w:rFonts w:cs="Times New Roman"/>
          <w:bCs/>
          <w:color w:val="auto"/>
        </w:rPr>
        <w:t>排入外环境的</w:t>
      </w:r>
      <w:r>
        <w:rPr>
          <w:rFonts w:hint="eastAsia" w:cs="Times New Roman"/>
          <w:bCs/>
          <w:color w:val="auto"/>
        </w:rPr>
        <w:t>有组织排放</w:t>
      </w:r>
      <w:r>
        <w:rPr>
          <w:rFonts w:cs="Times New Roman"/>
          <w:bCs/>
          <w:color w:val="auto"/>
        </w:rPr>
        <w:t>总量为0.</w:t>
      </w:r>
      <w:r>
        <w:rPr>
          <w:rFonts w:hint="eastAsia" w:cs="Times New Roman"/>
          <w:bCs/>
          <w:color w:val="auto"/>
        </w:rPr>
        <w:t>022</w:t>
      </w:r>
      <w:r>
        <w:rPr>
          <w:rFonts w:cs="Times New Roman"/>
          <w:bCs/>
          <w:color w:val="auto"/>
        </w:rPr>
        <w:t>t/a，</w:t>
      </w:r>
      <w:r>
        <w:rPr>
          <w:rFonts w:hint="eastAsia"/>
          <w:color w:val="auto"/>
        </w:rPr>
        <w:t>另外</w:t>
      </w:r>
      <w:r>
        <w:rPr>
          <w:color w:val="auto"/>
        </w:rPr>
        <w:t>根据环评报告中相关内容，企业</w:t>
      </w:r>
      <w:r>
        <w:rPr>
          <w:rFonts w:hint="eastAsia"/>
          <w:color w:val="auto"/>
        </w:rPr>
        <w:t>颗粒物</w:t>
      </w:r>
      <w:r>
        <w:rPr>
          <w:color w:val="auto"/>
        </w:rPr>
        <w:t>无组织排放量为</w:t>
      </w:r>
      <w:r>
        <w:rPr>
          <w:rFonts w:hint="eastAsia"/>
          <w:color w:val="auto"/>
        </w:rPr>
        <w:t>1.2</w:t>
      </w:r>
      <w:r>
        <w:rPr>
          <w:color w:val="auto"/>
        </w:rPr>
        <w:t>t/a，则企业合计颗粒物排放量为</w:t>
      </w:r>
      <w:r>
        <w:rPr>
          <w:rFonts w:hint="eastAsia"/>
          <w:color w:val="auto"/>
        </w:rPr>
        <w:t>1.222t/a，</w:t>
      </w:r>
      <w:r>
        <w:rPr>
          <w:rFonts w:hint="eastAsia" w:cs="Times New Roman"/>
          <w:bCs/>
          <w:color w:val="auto"/>
        </w:rPr>
        <w:t>在</w:t>
      </w:r>
      <w:r>
        <w:rPr>
          <w:rFonts w:cs="Times New Roman"/>
          <w:bCs/>
          <w:color w:val="auto"/>
        </w:rPr>
        <w:t>环评报告中全厂</w:t>
      </w:r>
      <w:r>
        <w:rPr>
          <w:rFonts w:hint="eastAsia" w:cs="Times New Roman"/>
          <w:bCs/>
          <w:color w:val="auto"/>
        </w:rPr>
        <w:t>颗粒物</w:t>
      </w:r>
      <w:r>
        <w:rPr>
          <w:rFonts w:cs="Times New Roman"/>
          <w:bCs/>
          <w:color w:val="auto"/>
        </w:rPr>
        <w:t>的达标排放量</w:t>
      </w:r>
      <w:r>
        <w:rPr>
          <w:rFonts w:hint="eastAsia" w:cs="Times New Roman"/>
          <w:bCs/>
          <w:color w:val="auto"/>
        </w:rPr>
        <w:t>1.56</w:t>
      </w:r>
      <w:r>
        <w:rPr>
          <w:rFonts w:cs="Times New Roman"/>
          <w:bCs/>
          <w:color w:val="auto"/>
        </w:rPr>
        <w:t>t/a的范围之内，符合总量控制要求</w:t>
      </w:r>
      <w:r>
        <w:rPr>
          <w:rFonts w:hint="eastAsia" w:cs="Times New Roman"/>
          <w:bCs/>
          <w:color w:val="auto"/>
        </w:rPr>
        <w:t>。</w:t>
      </w:r>
    </w:p>
    <w:p>
      <w:pPr>
        <w:pStyle w:val="4"/>
        <w:rPr>
          <w:color w:val="auto"/>
        </w:rPr>
        <w:sectPr>
          <w:pgSz w:w="11906" w:h="16838"/>
          <w:pgMar w:top="1418" w:right="1701" w:bottom="1418" w:left="1701" w:header="851" w:footer="992" w:gutter="0"/>
          <w:pgNumType w:fmt="numberInDash"/>
          <w:cols w:space="425" w:num="1"/>
          <w:docGrid w:type="lines" w:linePitch="312" w:charSpace="0"/>
        </w:sectPr>
      </w:pPr>
      <w:bookmarkStart w:id="90" w:name="_Toc515273931"/>
      <w:bookmarkStart w:id="91" w:name="_Toc61959024"/>
    </w:p>
    <w:p>
      <w:pPr>
        <w:pStyle w:val="4"/>
        <w:rPr>
          <w:color w:val="auto"/>
        </w:rPr>
      </w:pPr>
      <w:r>
        <w:rPr>
          <w:rFonts w:hint="eastAsia"/>
          <w:color w:val="auto"/>
        </w:rPr>
        <w:t>1</w:t>
      </w:r>
      <w:r>
        <w:rPr>
          <w:color w:val="auto"/>
        </w:rPr>
        <w:t>0验收监测结论</w:t>
      </w:r>
      <w:bookmarkEnd w:id="90"/>
      <w:bookmarkEnd w:id="91"/>
    </w:p>
    <w:p>
      <w:pPr>
        <w:pStyle w:val="5"/>
        <w:rPr>
          <w:color w:val="auto"/>
        </w:rPr>
      </w:pPr>
      <w:bookmarkStart w:id="92" w:name="_Toc61959025"/>
      <w:r>
        <w:rPr>
          <w:color w:val="auto"/>
        </w:rPr>
        <w:t>10.1生产工况</w:t>
      </w:r>
      <w:bookmarkEnd w:id="92"/>
    </w:p>
    <w:p>
      <w:pPr>
        <w:ind w:firstLine="480"/>
        <w:rPr>
          <w:b/>
          <w:bCs/>
          <w:color w:val="auto"/>
        </w:rPr>
      </w:pPr>
      <w:r>
        <w:rPr>
          <w:rFonts w:cs="Times New Roman"/>
          <w:color w:val="auto"/>
        </w:rPr>
        <w:t>验收监测期间，</w:t>
      </w:r>
      <w:r>
        <w:rPr>
          <w:rFonts w:hint="eastAsia" w:cs="Times New Roman"/>
          <w:color w:val="auto"/>
        </w:rPr>
        <w:t>我公司</w:t>
      </w:r>
      <w:r>
        <w:rPr>
          <w:rFonts w:cs="Times New Roman"/>
          <w:color w:val="auto"/>
        </w:rPr>
        <w:t>生产正常，设施运行稳定，</w:t>
      </w:r>
      <w:r>
        <w:rPr>
          <w:color w:val="auto"/>
        </w:rPr>
        <w:t>满足验收监测技术规范要求。</w:t>
      </w:r>
    </w:p>
    <w:p>
      <w:pPr>
        <w:pStyle w:val="5"/>
        <w:rPr>
          <w:color w:val="auto"/>
        </w:rPr>
      </w:pPr>
      <w:bookmarkStart w:id="93" w:name="_Toc61959026"/>
      <w:bookmarkStart w:id="94" w:name="_Toc515273932"/>
      <w:r>
        <w:rPr>
          <w:color w:val="auto"/>
        </w:rPr>
        <w:t>10.2废水</w:t>
      </w:r>
      <w:bookmarkEnd w:id="93"/>
      <w:bookmarkEnd w:id="94"/>
    </w:p>
    <w:p>
      <w:pPr>
        <w:ind w:firstLine="480"/>
        <w:rPr>
          <w:color w:val="auto"/>
        </w:rPr>
      </w:pPr>
      <w:r>
        <w:rPr>
          <w:rFonts w:hint="eastAsia"/>
          <w:color w:val="auto"/>
        </w:rPr>
        <w:t>根据监测结果，公司废水总排口的水质中pH、COD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、SS、动植物油的污染物浓度日均值均达到《污水综合排放标准》（GB8978-1996）表4中的三级标准，NH</w:t>
      </w:r>
      <w:r>
        <w:rPr>
          <w:rFonts w:hint="eastAsia"/>
          <w:color w:val="auto"/>
          <w:vertAlign w:val="subscript"/>
        </w:rPr>
        <w:t>3</w:t>
      </w:r>
      <w:r>
        <w:rPr>
          <w:rFonts w:hint="eastAsia"/>
          <w:color w:val="auto"/>
        </w:rPr>
        <w:t>-N浓度日均值达到DB33/887-2013《工业企业废水氮、磷污染物间接排放限值》表1中的工业企业水污染间接排放限值相关要求。pH、COD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-N、SS、动植物油的单项次达标率为100%。</w:t>
      </w:r>
    </w:p>
    <w:p>
      <w:pPr>
        <w:pStyle w:val="5"/>
        <w:rPr>
          <w:color w:val="auto"/>
        </w:rPr>
      </w:pPr>
      <w:bookmarkStart w:id="95" w:name="_Toc61959027"/>
      <w:bookmarkStart w:id="96" w:name="_Toc515273933"/>
      <w:r>
        <w:rPr>
          <w:color w:val="auto"/>
        </w:rPr>
        <w:t>10.3废气</w:t>
      </w:r>
      <w:bookmarkEnd w:id="95"/>
      <w:bookmarkEnd w:id="96"/>
    </w:p>
    <w:p>
      <w:pPr>
        <w:ind w:firstLine="480"/>
        <w:rPr>
          <w:color w:val="auto"/>
        </w:rPr>
      </w:pPr>
      <w:bookmarkStart w:id="97" w:name="_Toc515273934"/>
      <w:r>
        <w:rPr>
          <w:rFonts w:hint="eastAsia"/>
          <w:color w:val="auto"/>
        </w:rPr>
        <w:t>根据监测结果，公司厂界四周总悬浮颗粒物无组织排放浓度低于《大气污染物综合排放标准》（GB16297-1996）中表2规定的无组织排放监控浓度限值；公司废气处理设施出口颗粒物排放浓度、排放速率低于《大气污染物综合排放标准》（GB16297-1996）中表2规定。</w:t>
      </w:r>
    </w:p>
    <w:p>
      <w:pPr>
        <w:pStyle w:val="5"/>
        <w:rPr>
          <w:rFonts w:cs="Times New Roman"/>
          <w:color w:val="auto"/>
          <w:szCs w:val="24"/>
        </w:rPr>
      </w:pPr>
      <w:bookmarkStart w:id="98" w:name="_Toc61959028"/>
      <w:r>
        <w:rPr>
          <w:rFonts w:cs="Times New Roman"/>
          <w:color w:val="auto"/>
          <w:szCs w:val="24"/>
        </w:rPr>
        <w:t>10.4噪声</w:t>
      </w:r>
      <w:bookmarkEnd w:id="97"/>
      <w:bookmarkEnd w:id="98"/>
    </w:p>
    <w:p>
      <w:pPr>
        <w:ind w:firstLine="480"/>
        <w:rPr>
          <w:rFonts w:cs="Times New Roman"/>
          <w:b/>
          <w:bCs/>
          <w:color w:val="auto"/>
        </w:rPr>
      </w:pPr>
      <w:r>
        <w:rPr>
          <w:rFonts w:hint="eastAsia"/>
          <w:color w:val="auto"/>
        </w:rPr>
        <w:t>根据监测结果，公司厂界四周昼、夜间噪声监测值均达到《工业企业厂界环境噪声排放标准》（GB12348-2008）中的3类区标准要求。</w:t>
      </w:r>
    </w:p>
    <w:p>
      <w:pPr>
        <w:pStyle w:val="5"/>
        <w:rPr>
          <w:rFonts w:cs="Times New Roman"/>
          <w:color w:val="auto"/>
          <w:szCs w:val="24"/>
        </w:rPr>
      </w:pPr>
      <w:bookmarkStart w:id="99" w:name="_Toc61959029"/>
      <w:bookmarkStart w:id="100" w:name="_Toc515273935"/>
      <w:r>
        <w:rPr>
          <w:rFonts w:cs="Times New Roman"/>
          <w:color w:val="auto"/>
          <w:szCs w:val="24"/>
        </w:rPr>
        <w:t>10.5固体废弃物</w:t>
      </w:r>
      <w:bookmarkEnd w:id="99"/>
      <w:bookmarkEnd w:id="100"/>
    </w:p>
    <w:p>
      <w:pPr>
        <w:ind w:firstLine="480"/>
        <w:rPr>
          <w:color w:val="auto"/>
        </w:rPr>
      </w:pPr>
      <w:bookmarkStart w:id="101" w:name="_Toc515011450"/>
      <w:r>
        <w:rPr>
          <w:rFonts w:hint="eastAsia"/>
          <w:color w:val="auto"/>
        </w:rPr>
        <w:t>本项目产生的固体废物主要为</w:t>
      </w:r>
      <w:bookmarkStart w:id="102" w:name="_Hlk71815009"/>
      <w:r>
        <w:rPr>
          <w:rFonts w:hint="eastAsia"/>
          <w:color w:val="auto"/>
        </w:rPr>
        <w:t>废包装材料、废丝、收集的纤维粉尘和职工生活垃圾。</w:t>
      </w:r>
    </w:p>
    <w:p>
      <w:pPr>
        <w:ind w:firstLine="480"/>
        <w:rPr>
          <w:color w:val="auto"/>
        </w:rPr>
      </w:pPr>
      <w:r>
        <w:rPr>
          <w:rFonts w:hint="eastAsia"/>
          <w:color w:val="auto"/>
        </w:rPr>
        <w:t>废包装材料、废丝、收集的纤维粉尘由公司收集后外售物资回收公司进行综合利用；职工生活垃圾在厂内定点收集，由环卫部门统一清运。</w:t>
      </w:r>
    </w:p>
    <w:bookmarkEnd w:id="102"/>
    <w:p>
      <w:pPr>
        <w:ind w:firstLine="480"/>
        <w:rPr>
          <w:color w:val="auto"/>
        </w:rPr>
      </w:pPr>
      <w:bookmarkStart w:id="103" w:name="_Hlk81580638"/>
      <w:bookmarkStart w:id="104" w:name="_Toc61959030"/>
      <w:r>
        <w:rPr>
          <w:rFonts w:hint="eastAsia"/>
          <w:color w:val="auto"/>
        </w:rPr>
        <w:t>固体废物的贮存和处置满足《中华人民共和国固体废物污染环境防治法（2020年修正）》、《浙江省固体废物污染环境防治条例》以及《一般工业固体废物贮存和填埋污染控制标准》（GB18599-2020）中相应防渗漏、防雨淋、防扬尘等环境保护要求的有关规定</w:t>
      </w:r>
      <w:bookmarkEnd w:id="103"/>
      <w:r>
        <w:rPr>
          <w:rFonts w:hint="eastAsia"/>
          <w:color w:val="auto"/>
        </w:rPr>
        <w:t>。</w:t>
      </w:r>
    </w:p>
    <w:p>
      <w:pPr>
        <w:pStyle w:val="5"/>
        <w:rPr>
          <w:rFonts w:cs="Times New Roman"/>
          <w:color w:val="auto"/>
          <w:szCs w:val="24"/>
        </w:rPr>
      </w:pPr>
      <w:r>
        <w:rPr>
          <w:rFonts w:cs="Times New Roman"/>
          <w:color w:val="auto"/>
          <w:szCs w:val="24"/>
        </w:rPr>
        <w:t>10.6总量控制</w:t>
      </w:r>
      <w:bookmarkEnd w:id="101"/>
      <w:bookmarkEnd w:id="104"/>
    </w:p>
    <w:p>
      <w:pPr>
        <w:ind w:firstLine="480"/>
        <w:rPr>
          <w:rFonts w:eastAsia="宋体" w:cs="Times New Roman"/>
          <w:color w:val="auto"/>
        </w:rPr>
      </w:pPr>
      <w:r>
        <w:rPr>
          <w:rFonts w:hint="eastAsia" w:eastAsia="宋体" w:cs="Times New Roman"/>
          <w:color w:val="auto"/>
        </w:rPr>
        <w:t>公司全厂</w:t>
      </w:r>
      <w:r>
        <w:rPr>
          <w:rFonts w:eastAsia="宋体" w:cs="Times New Roman"/>
          <w:color w:val="auto"/>
        </w:rPr>
        <w:t>总量控制指标COD</w:t>
      </w:r>
      <w:r>
        <w:rPr>
          <w:rFonts w:eastAsia="宋体" w:cs="Times New Roman"/>
          <w:color w:val="auto"/>
          <w:vertAlign w:val="subscript"/>
        </w:rPr>
        <w:t>Cr</w:t>
      </w:r>
      <w:r>
        <w:rPr>
          <w:rFonts w:eastAsia="宋体" w:cs="Times New Roman"/>
          <w:color w:val="auto"/>
        </w:rPr>
        <w:t>、NH</w:t>
      </w:r>
      <w:r>
        <w:rPr>
          <w:rFonts w:eastAsia="宋体" w:cs="Times New Roman"/>
          <w:color w:val="auto"/>
          <w:vertAlign w:val="subscript"/>
        </w:rPr>
        <w:t>3</w:t>
      </w:r>
      <w:r>
        <w:rPr>
          <w:rFonts w:eastAsia="宋体" w:cs="Times New Roman"/>
          <w:color w:val="auto"/>
        </w:rPr>
        <w:t>-N</w:t>
      </w:r>
      <w:r>
        <w:rPr>
          <w:rFonts w:hint="eastAsia" w:eastAsia="宋体" w:cs="Times New Roman"/>
          <w:color w:val="auto"/>
        </w:rPr>
        <w:t>、颗粒物</w:t>
      </w:r>
      <w:r>
        <w:rPr>
          <w:rFonts w:eastAsia="宋体" w:cs="Times New Roman"/>
          <w:color w:val="auto"/>
        </w:rPr>
        <w:t>的</w:t>
      </w:r>
      <w:r>
        <w:rPr>
          <w:bCs/>
          <w:color w:val="auto"/>
        </w:rPr>
        <w:t>年排放量</w:t>
      </w:r>
      <w:r>
        <w:rPr>
          <w:rFonts w:hint="eastAsia"/>
          <w:bCs/>
          <w:color w:val="auto"/>
        </w:rPr>
        <w:t>与环评报告审批量见下表</w:t>
      </w:r>
      <w:r>
        <w:rPr>
          <w:rFonts w:eastAsia="宋体" w:cs="Times New Roman"/>
          <w:color w:val="auto"/>
        </w:rPr>
        <w:t>。</w:t>
      </w:r>
    </w:p>
    <w:p>
      <w:pPr>
        <w:pStyle w:val="30"/>
        <w:spacing w:before="62" w:after="31"/>
        <w:rPr>
          <w:color w:val="auto"/>
        </w:rPr>
      </w:pPr>
      <w:r>
        <w:rPr>
          <w:rFonts w:hint="eastAsia"/>
          <w:color w:val="auto"/>
        </w:rPr>
        <w:t>表10-1总量控制情况</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2180"/>
        <w:gridCol w:w="218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pPr>
              <w:pStyle w:val="32"/>
              <w:rPr>
                <w:b/>
                <w:bCs/>
                <w:color w:val="auto"/>
                <w:szCs w:val="21"/>
              </w:rPr>
            </w:pPr>
            <w:r>
              <w:rPr>
                <w:rFonts w:hint="eastAsia"/>
                <w:b/>
                <w:bCs/>
                <w:color w:val="auto"/>
                <w:szCs w:val="21"/>
              </w:rPr>
              <w:t>污染物类别</w:t>
            </w:r>
          </w:p>
        </w:tc>
        <w:tc>
          <w:tcPr>
            <w:tcW w:w="1250" w:type="pct"/>
            <w:vAlign w:val="center"/>
          </w:tcPr>
          <w:p>
            <w:pPr>
              <w:pStyle w:val="32"/>
              <w:rPr>
                <w:b/>
                <w:bCs/>
                <w:color w:val="auto"/>
                <w:szCs w:val="21"/>
              </w:rPr>
            </w:pPr>
            <w:r>
              <w:rPr>
                <w:b/>
                <w:bCs/>
                <w:color w:val="auto"/>
                <w:szCs w:val="21"/>
              </w:rPr>
              <w:t>COD</w:t>
            </w:r>
            <w:r>
              <w:rPr>
                <w:b/>
                <w:bCs/>
                <w:color w:val="auto"/>
                <w:szCs w:val="21"/>
                <w:vertAlign w:val="subscript"/>
              </w:rPr>
              <w:t>Cr</w:t>
            </w:r>
          </w:p>
        </w:tc>
        <w:tc>
          <w:tcPr>
            <w:tcW w:w="1250" w:type="pct"/>
            <w:vAlign w:val="center"/>
          </w:tcPr>
          <w:p>
            <w:pPr>
              <w:pStyle w:val="32"/>
              <w:rPr>
                <w:b/>
                <w:bCs/>
                <w:color w:val="auto"/>
                <w:szCs w:val="21"/>
              </w:rPr>
            </w:pPr>
            <w:r>
              <w:rPr>
                <w:b/>
                <w:bCs/>
                <w:color w:val="auto"/>
                <w:szCs w:val="21"/>
              </w:rPr>
              <w:t>NH</w:t>
            </w:r>
            <w:r>
              <w:rPr>
                <w:b/>
                <w:bCs/>
                <w:color w:val="auto"/>
                <w:szCs w:val="21"/>
                <w:vertAlign w:val="subscript"/>
              </w:rPr>
              <w:t>3</w:t>
            </w:r>
            <w:r>
              <w:rPr>
                <w:b/>
                <w:bCs/>
                <w:color w:val="auto"/>
                <w:szCs w:val="21"/>
              </w:rPr>
              <w:t>-N</w:t>
            </w:r>
          </w:p>
        </w:tc>
        <w:tc>
          <w:tcPr>
            <w:tcW w:w="1250" w:type="pct"/>
            <w:vAlign w:val="center"/>
          </w:tcPr>
          <w:p>
            <w:pPr>
              <w:pStyle w:val="32"/>
              <w:rPr>
                <w:b/>
                <w:bCs/>
                <w:color w:val="auto"/>
                <w:szCs w:val="21"/>
              </w:rPr>
            </w:pPr>
            <w:r>
              <w:rPr>
                <w:rFonts w:hint="eastAsia"/>
                <w:b/>
                <w:bCs/>
                <w:color w:val="auto"/>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pPr>
              <w:pStyle w:val="42"/>
              <w:rPr>
                <w:color w:val="auto"/>
              </w:rPr>
            </w:pPr>
            <w:r>
              <w:rPr>
                <w:rFonts w:hint="eastAsia"/>
                <w:color w:val="auto"/>
              </w:rPr>
              <w:t>实际排放量</w:t>
            </w:r>
            <w:r>
              <w:rPr>
                <w:color w:val="auto"/>
              </w:rPr>
              <w:t>（t/a）</w:t>
            </w:r>
          </w:p>
        </w:tc>
        <w:tc>
          <w:tcPr>
            <w:tcW w:w="1250" w:type="pct"/>
            <w:vAlign w:val="center"/>
          </w:tcPr>
          <w:p>
            <w:pPr>
              <w:pStyle w:val="32"/>
              <w:rPr>
                <w:color w:val="auto"/>
                <w:szCs w:val="21"/>
              </w:rPr>
            </w:pPr>
            <w:r>
              <w:rPr>
                <w:rFonts w:hint="eastAsia"/>
                <w:color w:val="auto"/>
                <w:szCs w:val="21"/>
              </w:rPr>
              <w:t>0.113</w:t>
            </w:r>
          </w:p>
        </w:tc>
        <w:tc>
          <w:tcPr>
            <w:tcW w:w="1250" w:type="pct"/>
            <w:vAlign w:val="center"/>
          </w:tcPr>
          <w:p>
            <w:pPr>
              <w:pStyle w:val="32"/>
              <w:rPr>
                <w:color w:val="auto"/>
                <w:szCs w:val="21"/>
              </w:rPr>
            </w:pPr>
            <w:r>
              <w:rPr>
                <w:rFonts w:hint="eastAsia"/>
                <w:color w:val="auto"/>
                <w:szCs w:val="21"/>
              </w:rPr>
              <w:t>0.0</w:t>
            </w:r>
            <w:r>
              <w:rPr>
                <w:color w:val="auto"/>
                <w:szCs w:val="21"/>
              </w:rPr>
              <w:t>1</w:t>
            </w:r>
            <w:r>
              <w:rPr>
                <w:rFonts w:hint="eastAsia"/>
                <w:color w:val="auto"/>
                <w:szCs w:val="21"/>
              </w:rPr>
              <w:t>1</w:t>
            </w:r>
          </w:p>
        </w:tc>
        <w:tc>
          <w:tcPr>
            <w:tcW w:w="1250" w:type="pct"/>
            <w:vAlign w:val="center"/>
          </w:tcPr>
          <w:p>
            <w:pPr>
              <w:pStyle w:val="32"/>
              <w:rPr>
                <w:color w:val="auto"/>
                <w:szCs w:val="21"/>
              </w:rPr>
            </w:pPr>
            <w:r>
              <w:rPr>
                <w:rFonts w:hint="eastAsia"/>
                <w:color w:val="auto"/>
                <w:szCs w:val="21"/>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pPr>
              <w:pStyle w:val="42"/>
              <w:rPr>
                <w:color w:val="auto"/>
              </w:rPr>
            </w:pPr>
            <w:r>
              <w:rPr>
                <w:rFonts w:hint="eastAsia"/>
                <w:color w:val="auto"/>
              </w:rPr>
              <w:t>环评报告审批量</w:t>
            </w:r>
            <w:r>
              <w:rPr>
                <w:color w:val="auto"/>
              </w:rPr>
              <w:t>（t/a）</w:t>
            </w:r>
          </w:p>
        </w:tc>
        <w:tc>
          <w:tcPr>
            <w:tcW w:w="1250" w:type="pct"/>
            <w:vAlign w:val="center"/>
          </w:tcPr>
          <w:p>
            <w:pPr>
              <w:pStyle w:val="32"/>
              <w:rPr>
                <w:color w:val="auto"/>
                <w:szCs w:val="21"/>
              </w:rPr>
            </w:pPr>
            <w:r>
              <w:rPr>
                <w:rFonts w:hint="eastAsia"/>
                <w:color w:val="auto"/>
                <w:szCs w:val="21"/>
              </w:rPr>
              <w:t>0.162</w:t>
            </w:r>
          </w:p>
        </w:tc>
        <w:tc>
          <w:tcPr>
            <w:tcW w:w="1250" w:type="pct"/>
            <w:vAlign w:val="center"/>
          </w:tcPr>
          <w:p>
            <w:pPr>
              <w:pStyle w:val="32"/>
              <w:rPr>
                <w:color w:val="auto"/>
                <w:szCs w:val="21"/>
              </w:rPr>
            </w:pPr>
            <w:r>
              <w:rPr>
                <w:rFonts w:hint="eastAsia"/>
                <w:color w:val="auto"/>
                <w:szCs w:val="21"/>
              </w:rPr>
              <w:t>0.016</w:t>
            </w:r>
          </w:p>
        </w:tc>
        <w:tc>
          <w:tcPr>
            <w:tcW w:w="1250" w:type="pct"/>
            <w:vAlign w:val="center"/>
          </w:tcPr>
          <w:p>
            <w:pPr>
              <w:pStyle w:val="32"/>
              <w:rPr>
                <w:color w:val="auto"/>
                <w:szCs w:val="21"/>
              </w:rPr>
            </w:pPr>
            <w:r>
              <w:rPr>
                <w:rFonts w:hint="eastAsia"/>
                <w:color w:val="auto"/>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pPr>
              <w:spacing w:line="240" w:lineRule="auto"/>
              <w:ind w:firstLine="0" w:firstLineChars="0"/>
              <w:jc w:val="center"/>
              <w:rPr>
                <w:color w:val="auto"/>
                <w:sz w:val="21"/>
                <w:szCs w:val="21"/>
              </w:rPr>
            </w:pPr>
            <w:r>
              <w:rPr>
                <w:rFonts w:hint="eastAsia"/>
                <w:color w:val="auto"/>
                <w:sz w:val="21"/>
                <w:szCs w:val="21"/>
              </w:rPr>
              <w:t>是否控制在审批范围内</w:t>
            </w:r>
          </w:p>
        </w:tc>
        <w:tc>
          <w:tcPr>
            <w:tcW w:w="1250" w:type="pct"/>
            <w:vAlign w:val="center"/>
          </w:tcPr>
          <w:p>
            <w:pPr>
              <w:pStyle w:val="32"/>
              <w:rPr>
                <w:color w:val="auto"/>
                <w:szCs w:val="21"/>
              </w:rPr>
            </w:pPr>
            <w:r>
              <w:rPr>
                <w:rFonts w:hint="eastAsia"/>
                <w:color w:val="auto"/>
                <w:szCs w:val="21"/>
              </w:rPr>
              <w:t>是</w:t>
            </w:r>
          </w:p>
        </w:tc>
        <w:tc>
          <w:tcPr>
            <w:tcW w:w="1250" w:type="pct"/>
            <w:vAlign w:val="center"/>
          </w:tcPr>
          <w:p>
            <w:pPr>
              <w:pStyle w:val="32"/>
              <w:rPr>
                <w:color w:val="auto"/>
                <w:szCs w:val="21"/>
              </w:rPr>
            </w:pPr>
            <w:r>
              <w:rPr>
                <w:rFonts w:hint="eastAsia"/>
                <w:color w:val="auto"/>
                <w:szCs w:val="21"/>
              </w:rPr>
              <w:t>是</w:t>
            </w:r>
          </w:p>
        </w:tc>
        <w:tc>
          <w:tcPr>
            <w:tcW w:w="1250" w:type="pct"/>
            <w:vAlign w:val="center"/>
          </w:tcPr>
          <w:p>
            <w:pPr>
              <w:pStyle w:val="32"/>
              <w:rPr>
                <w:color w:val="auto"/>
                <w:szCs w:val="21"/>
              </w:rPr>
            </w:pPr>
            <w:r>
              <w:rPr>
                <w:rFonts w:hint="eastAsia"/>
                <w:color w:val="auto"/>
                <w:szCs w:val="21"/>
              </w:rPr>
              <w:t>是</w:t>
            </w:r>
          </w:p>
        </w:tc>
      </w:tr>
    </w:tbl>
    <w:p>
      <w:pPr>
        <w:pStyle w:val="5"/>
        <w:rPr>
          <w:color w:val="auto"/>
        </w:rPr>
      </w:pPr>
      <w:bookmarkStart w:id="105" w:name="_Toc61959031"/>
      <w:r>
        <w:rPr>
          <w:rFonts w:hint="eastAsia"/>
          <w:color w:val="auto"/>
        </w:rPr>
        <w:t>1</w:t>
      </w:r>
      <w:r>
        <w:rPr>
          <w:color w:val="auto"/>
        </w:rPr>
        <w:t>0.7</w:t>
      </w:r>
      <w:r>
        <w:rPr>
          <w:rFonts w:hint="eastAsia"/>
          <w:color w:val="auto"/>
        </w:rPr>
        <w:t>结论</w:t>
      </w:r>
      <w:bookmarkEnd w:id="105"/>
    </w:p>
    <w:p>
      <w:pPr>
        <w:ind w:firstLine="480"/>
        <w:rPr>
          <w:color w:val="auto"/>
        </w:rPr>
      </w:pPr>
      <w:r>
        <w:rPr>
          <w:rFonts w:hint="eastAsia"/>
          <w:color w:val="auto"/>
        </w:rPr>
        <w:t>综上分析，本项目主要生产设施和环保设施运行正常，项目在验收调查期间，各项污染物监测结果可满足相关环境排放标准要求，按照建设项目环境保护“三同时”的有关要求，基本落实了环评文件及相关环保部门的要求，因此符合建设项目竣工环境保护验收条件。</w:t>
      </w:r>
    </w:p>
    <w:p>
      <w:pPr>
        <w:pStyle w:val="2"/>
        <w:ind w:left="480" w:firstLine="480"/>
        <w:rPr>
          <w:color w:val="auto"/>
        </w:rPr>
      </w:pPr>
    </w:p>
    <w:p>
      <w:pPr>
        <w:pStyle w:val="2"/>
        <w:ind w:left="0" w:leftChars="0" w:firstLine="0" w:firstLineChars="0"/>
        <w:rPr>
          <w:b/>
          <w:bCs/>
          <w:color w:val="auto"/>
        </w:rPr>
        <w:sectPr>
          <w:headerReference r:id="rId25" w:type="default"/>
          <w:pgSz w:w="11906" w:h="16838"/>
          <w:pgMar w:top="1418" w:right="1701" w:bottom="1418" w:left="1701" w:header="851" w:footer="992" w:gutter="0"/>
          <w:pgNumType w:fmt="numberInDash"/>
          <w:cols w:space="425" w:num="1"/>
          <w:docGrid w:type="lines" w:linePitch="312" w:charSpace="0"/>
        </w:sectPr>
      </w:pPr>
    </w:p>
    <w:p>
      <w:pPr>
        <w:ind w:firstLine="482"/>
        <w:jc w:val="center"/>
        <w:rPr>
          <w:rFonts w:eastAsia="黑体" w:cs="Times New Roman"/>
          <w:b/>
          <w:color w:val="auto"/>
        </w:rPr>
      </w:pPr>
      <w:r>
        <w:rPr>
          <w:rFonts w:eastAsia="黑体" w:cs="Times New Roman"/>
          <w:b/>
          <w:color w:val="auto"/>
        </w:rPr>
        <w:t>建设项目竣工环境保护“三同时”验收登记表</w:t>
      </w:r>
    </w:p>
    <w:p>
      <w:pPr>
        <w:spacing w:line="240" w:lineRule="auto"/>
        <w:ind w:firstLine="0" w:firstLineChars="0"/>
        <w:rPr>
          <w:rFonts w:cs="Times New Roman"/>
          <w:b/>
          <w:color w:val="auto"/>
          <w:sz w:val="18"/>
          <w:szCs w:val="18"/>
        </w:rPr>
      </w:pPr>
      <w:r>
        <w:rPr>
          <w:rFonts w:cs="Times New Roman"/>
          <w:b/>
          <w:color w:val="auto"/>
          <w:sz w:val="18"/>
          <w:szCs w:val="18"/>
        </w:rPr>
        <w:t>填表单位（盖章）：</w:t>
      </w:r>
      <w:r>
        <w:rPr>
          <w:rFonts w:hint="eastAsia" w:cs="Times New Roman"/>
          <w:b/>
          <w:color w:val="auto"/>
          <w:sz w:val="18"/>
          <w:szCs w:val="18"/>
        </w:rPr>
        <w:t>桐乡市鸿尔纺织有限公司</w:t>
      </w:r>
      <w:r>
        <w:rPr>
          <w:rFonts w:cs="Times New Roman"/>
          <w:b/>
          <w:color w:val="auto"/>
          <w:sz w:val="18"/>
          <w:szCs w:val="18"/>
        </w:rPr>
        <w:t xml:space="preserve">                                                      </w:t>
      </w:r>
      <w:r>
        <w:rPr>
          <w:rFonts w:hint="eastAsia" w:cs="Times New Roman"/>
          <w:b/>
          <w:color w:val="auto"/>
          <w:sz w:val="18"/>
          <w:szCs w:val="18"/>
        </w:rPr>
        <w:t xml:space="preserve">   </w:t>
      </w:r>
      <w:r>
        <w:rPr>
          <w:rFonts w:cs="Times New Roman"/>
          <w:b/>
          <w:color w:val="auto"/>
          <w:sz w:val="18"/>
          <w:szCs w:val="18"/>
        </w:rPr>
        <w:t xml:space="preserve"> 填表人（签字）：                                                            项目经办人（签字）：</w:t>
      </w:r>
    </w:p>
    <w:tbl>
      <w:tblPr>
        <w:tblStyle w:val="21"/>
        <w:tblW w:w="15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30" w:type="dxa"/>
            <w:vMerge w:val="restart"/>
            <w:tcMar>
              <w:left w:w="57" w:type="dxa"/>
              <w:right w:w="57" w:type="dxa"/>
            </w:tcMar>
            <w:textDirection w:val="tbRlV"/>
            <w:vAlign w:val="center"/>
          </w:tcPr>
          <w:p>
            <w:pPr>
              <w:spacing w:line="240" w:lineRule="auto"/>
              <w:ind w:firstLine="0" w:firstLineChars="0"/>
              <w:jc w:val="center"/>
              <w:rPr>
                <w:rFonts w:cs="Times New Roman"/>
                <w:b/>
                <w:color w:val="auto"/>
                <w:sz w:val="15"/>
                <w:szCs w:val="15"/>
              </w:rPr>
            </w:pPr>
            <w:r>
              <w:rPr>
                <w:rFonts w:cs="Times New Roman"/>
                <w:b/>
                <w:color w:val="auto"/>
                <w:sz w:val="15"/>
                <w:szCs w:val="15"/>
              </w:rPr>
              <w:t>建设项目</w:t>
            </w:r>
          </w:p>
        </w:tc>
        <w:tc>
          <w:tcPr>
            <w:tcW w:w="1964"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项目名称</w:t>
            </w:r>
          </w:p>
        </w:tc>
        <w:tc>
          <w:tcPr>
            <w:tcW w:w="4871" w:type="dxa"/>
            <w:gridSpan w:val="6"/>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年产600吨高档粗纺羊绒纱项目</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项目代码</w:t>
            </w:r>
          </w:p>
        </w:tc>
        <w:tc>
          <w:tcPr>
            <w:tcW w:w="2373" w:type="dxa"/>
            <w:gridSpan w:val="2"/>
            <w:tcMar>
              <w:left w:w="57" w:type="dxa"/>
              <w:right w:w="57" w:type="dxa"/>
            </w:tcMar>
            <w:vAlign w:val="center"/>
          </w:tcPr>
          <w:p>
            <w:pPr>
              <w:spacing w:line="240" w:lineRule="exact"/>
              <w:ind w:firstLine="0" w:firstLineChars="0"/>
              <w:rPr>
                <w:rFonts w:cs="Times New Roman"/>
                <w:bCs/>
                <w:color w:val="auto"/>
                <w:sz w:val="15"/>
                <w:szCs w:val="15"/>
              </w:rPr>
            </w:pPr>
            <w:r>
              <w:rPr>
                <w:rFonts w:hint="eastAsia" w:cs="Times New Roman"/>
                <w:bCs/>
                <w:color w:val="auto"/>
                <w:sz w:val="15"/>
                <w:szCs w:val="15"/>
              </w:rPr>
              <w:t>330000150623055797A</w:t>
            </w:r>
          </w:p>
        </w:tc>
        <w:tc>
          <w:tcPr>
            <w:tcW w:w="1563"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建设地点</w:t>
            </w:r>
          </w:p>
        </w:tc>
        <w:tc>
          <w:tcPr>
            <w:tcW w:w="2784"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桐乡市梧桐街道环城北路198号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行业类别（分类管理名录）</w:t>
            </w:r>
          </w:p>
        </w:tc>
        <w:tc>
          <w:tcPr>
            <w:tcW w:w="4871" w:type="dxa"/>
            <w:gridSpan w:val="6"/>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C</w:t>
            </w:r>
            <w:r>
              <w:rPr>
                <w:rFonts w:eastAsia="宋体" w:cs="Times New Roman"/>
                <w:color w:val="auto"/>
                <w:sz w:val="15"/>
                <w:szCs w:val="15"/>
              </w:rPr>
              <w:t>17</w:t>
            </w:r>
            <w:r>
              <w:rPr>
                <w:rFonts w:hint="eastAsia" w:eastAsia="宋体" w:cs="Times New Roman"/>
                <w:color w:val="auto"/>
                <w:sz w:val="15"/>
                <w:szCs w:val="15"/>
              </w:rPr>
              <w:t>纺织业</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建设性质</w:t>
            </w:r>
          </w:p>
        </w:tc>
        <w:tc>
          <w:tcPr>
            <w:tcW w:w="3936"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sym w:font="Wingdings 2" w:char="0052"/>
            </w:r>
            <w:r>
              <w:rPr>
                <w:rFonts w:cs="Times New Roman"/>
                <w:b/>
                <w:color w:val="auto"/>
                <w:sz w:val="15"/>
                <w:szCs w:val="15"/>
              </w:rPr>
              <w:t>新建</w:t>
            </w:r>
            <w:r>
              <w:rPr>
                <w:rFonts w:cs="Times New Roman"/>
                <w:b/>
                <w:color w:val="auto"/>
                <w:sz w:val="15"/>
                <w:szCs w:val="15"/>
              </w:rPr>
              <w:sym w:font="Wingdings 2" w:char="00A3"/>
            </w:r>
            <w:r>
              <w:rPr>
                <w:rFonts w:hint="eastAsia" w:cs="Times New Roman"/>
                <w:b/>
                <w:color w:val="auto"/>
                <w:sz w:val="15"/>
                <w:szCs w:val="15"/>
              </w:rPr>
              <w:t>改扩建</w:t>
            </w:r>
            <w:r>
              <w:rPr>
                <w:rFonts w:cs="Times New Roman"/>
                <w:b/>
                <w:color w:val="auto"/>
                <w:sz w:val="15"/>
                <w:szCs w:val="15"/>
              </w:rPr>
              <w:sym w:font="Wingdings 2" w:char="00A3"/>
            </w:r>
            <w:r>
              <w:rPr>
                <w:rFonts w:cs="Times New Roman"/>
                <w:b/>
                <w:color w:val="auto"/>
                <w:sz w:val="15"/>
                <w:szCs w:val="15"/>
              </w:rPr>
              <w:t>技术改造</w:t>
            </w:r>
          </w:p>
        </w:tc>
        <w:tc>
          <w:tcPr>
            <w:tcW w:w="925"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项目厂区中心经度/纬度</w:t>
            </w:r>
          </w:p>
        </w:tc>
        <w:tc>
          <w:tcPr>
            <w:tcW w:w="1859"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color w:val="auto"/>
                <w:sz w:val="15"/>
                <w:szCs w:val="15"/>
              </w:rPr>
              <w:t>经度：</w:t>
            </w:r>
            <w:r>
              <w:rPr>
                <w:rFonts w:hint="eastAsia" w:cs="Times New Roman"/>
                <w:color w:val="auto"/>
                <w:sz w:val="15"/>
                <w:szCs w:val="15"/>
              </w:rPr>
              <w:t>120.571247°</w:t>
            </w:r>
          </w:p>
          <w:p>
            <w:pPr>
              <w:spacing w:line="240" w:lineRule="exact"/>
              <w:ind w:firstLine="0" w:firstLineChars="0"/>
              <w:rPr>
                <w:rFonts w:cs="Times New Roman"/>
                <w:color w:val="auto"/>
                <w:sz w:val="15"/>
                <w:szCs w:val="15"/>
              </w:rPr>
            </w:pPr>
            <w:r>
              <w:rPr>
                <w:rFonts w:cs="Times New Roman"/>
                <w:color w:val="auto"/>
                <w:sz w:val="15"/>
                <w:szCs w:val="15"/>
              </w:rPr>
              <w:t>纬度：</w:t>
            </w:r>
            <w:r>
              <w:rPr>
                <w:rFonts w:hint="eastAsia" w:cs="Times New Roman"/>
                <w:color w:val="auto"/>
                <w:sz w:val="15"/>
                <w:szCs w:val="15"/>
              </w:rPr>
              <w:t>30.659843°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设计生产能力</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年产600吨高档粗纺羊绒纱</w:t>
            </w:r>
          </w:p>
        </w:tc>
        <w:tc>
          <w:tcPr>
            <w:tcW w:w="1939"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实际生产能力</w:t>
            </w:r>
          </w:p>
        </w:tc>
        <w:tc>
          <w:tcPr>
            <w:tcW w:w="2261" w:type="dxa"/>
            <w:tcMar>
              <w:left w:w="57" w:type="dxa"/>
              <w:right w:w="57" w:type="dxa"/>
            </w:tcMar>
            <w:vAlign w:val="center"/>
          </w:tcPr>
          <w:p>
            <w:pPr>
              <w:spacing w:line="240" w:lineRule="exact"/>
              <w:ind w:firstLine="0" w:firstLineChars="0"/>
              <w:rPr>
                <w:rFonts w:cs="Times New Roman"/>
                <w:b/>
                <w:color w:val="auto"/>
                <w:sz w:val="15"/>
                <w:szCs w:val="15"/>
              </w:rPr>
            </w:pPr>
            <w:r>
              <w:rPr>
                <w:rFonts w:hint="eastAsia" w:cs="Times New Roman"/>
                <w:color w:val="auto"/>
                <w:sz w:val="15"/>
                <w:szCs w:val="15"/>
              </w:rPr>
              <w:t>年产600吨高档粗纺羊绒纱</w:t>
            </w:r>
          </w:p>
        </w:tc>
        <w:tc>
          <w:tcPr>
            <w:tcW w:w="1675"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环评单位</w:t>
            </w:r>
          </w:p>
        </w:tc>
        <w:tc>
          <w:tcPr>
            <w:tcW w:w="2784" w:type="dxa"/>
            <w:gridSpan w:val="4"/>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浙江环科环境咨询有限公司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环评文件审批机关</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原桐乡市环境保护局</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审批文号</w:t>
            </w:r>
          </w:p>
        </w:tc>
        <w:tc>
          <w:tcPr>
            <w:tcW w:w="2261" w:type="dxa"/>
            <w:tcMar>
              <w:left w:w="57" w:type="dxa"/>
              <w:right w:w="57" w:type="dxa"/>
            </w:tcMar>
            <w:vAlign w:val="center"/>
          </w:tcPr>
          <w:p>
            <w:pPr>
              <w:spacing w:line="240" w:lineRule="exact"/>
              <w:ind w:firstLine="0" w:firstLineChars="0"/>
              <w:rPr>
                <w:rFonts w:cs="Times New Roman"/>
                <w:color w:val="auto"/>
                <w:sz w:val="15"/>
                <w:szCs w:val="15"/>
              </w:rPr>
            </w:pPr>
            <w:r>
              <w:rPr>
                <w:rFonts w:hint="eastAsia" w:eastAsia="宋体" w:cs="Times New Roman"/>
                <w:color w:val="auto"/>
                <w:sz w:val="15"/>
                <w:szCs w:val="15"/>
              </w:rPr>
              <w:t>桐环备[2015]252号</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环评文件类型</w:t>
            </w:r>
          </w:p>
        </w:tc>
        <w:tc>
          <w:tcPr>
            <w:tcW w:w="2784" w:type="dxa"/>
            <w:gridSpan w:val="4"/>
            <w:tcMar>
              <w:left w:w="57" w:type="dxa"/>
              <w:right w:w="57" w:type="dxa"/>
            </w:tcMar>
            <w:vAlign w:val="center"/>
          </w:tcPr>
          <w:p>
            <w:pPr>
              <w:spacing w:line="240" w:lineRule="exact"/>
              <w:ind w:firstLine="0" w:firstLineChars="0"/>
              <w:rPr>
                <w:rFonts w:cs="Times New Roman"/>
                <w:b/>
                <w:color w:val="auto"/>
                <w:sz w:val="15"/>
                <w:szCs w:val="15"/>
              </w:rPr>
            </w:pPr>
            <w:r>
              <w:rPr>
                <w:rFonts w:cs="Times New Roman"/>
                <w:bCs/>
                <w:color w:val="auto"/>
                <w:sz w:val="15"/>
                <w:szCs w:val="15"/>
              </w:rPr>
              <w:t>环境影响报告</w:t>
            </w:r>
            <w:r>
              <w:rPr>
                <w:rFonts w:hint="eastAsia" w:cs="Times New Roman"/>
                <w:bCs/>
                <w:color w:val="auto"/>
                <w:sz w:val="15"/>
                <w:szCs w:val="15"/>
              </w:rPr>
              <w:t>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开工日期</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2017年3月</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竣工日期</w:t>
            </w:r>
          </w:p>
        </w:tc>
        <w:tc>
          <w:tcPr>
            <w:tcW w:w="2261" w:type="dxa"/>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2021年10月</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排污许可证申领时间</w:t>
            </w:r>
          </w:p>
        </w:tc>
        <w:tc>
          <w:tcPr>
            <w:tcW w:w="2784" w:type="dxa"/>
            <w:gridSpan w:val="4"/>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2020年6月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环保设施设计单位</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环保设施施工单位</w:t>
            </w:r>
          </w:p>
        </w:tc>
        <w:tc>
          <w:tcPr>
            <w:tcW w:w="2261" w:type="dxa"/>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本工程排污许可证编号</w:t>
            </w:r>
          </w:p>
        </w:tc>
        <w:tc>
          <w:tcPr>
            <w:tcW w:w="2784" w:type="dxa"/>
            <w:gridSpan w:val="4"/>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9133048309472667XB001Y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验收单位</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桐乡市鸿尔纺织有限公司</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环保设施监测单位</w:t>
            </w:r>
          </w:p>
        </w:tc>
        <w:tc>
          <w:tcPr>
            <w:tcW w:w="2261" w:type="dxa"/>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浙江华维检测技术服务有限公司</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验收监测时工况</w:t>
            </w:r>
          </w:p>
        </w:tc>
        <w:tc>
          <w:tcPr>
            <w:tcW w:w="2784"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cs="Times New Roman"/>
                <w:color w:val="auto"/>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投资总概算（万元）</w:t>
            </w:r>
          </w:p>
        </w:tc>
        <w:tc>
          <w:tcPr>
            <w:tcW w:w="4871" w:type="dxa"/>
            <w:gridSpan w:val="6"/>
            <w:tcMar>
              <w:left w:w="57" w:type="dxa"/>
              <w:right w:w="57" w:type="dxa"/>
            </w:tcMar>
            <w:vAlign w:val="center"/>
          </w:tcPr>
          <w:p>
            <w:pPr>
              <w:spacing w:line="240" w:lineRule="exact"/>
              <w:ind w:firstLine="0" w:firstLineChars="0"/>
              <w:rPr>
                <w:rFonts w:eastAsia="宋体" w:cs="Times New Roman"/>
                <w:bCs/>
                <w:color w:val="auto"/>
                <w:sz w:val="15"/>
                <w:szCs w:val="15"/>
              </w:rPr>
            </w:pPr>
            <w:r>
              <w:rPr>
                <w:rFonts w:hint="eastAsia" w:eastAsia="宋体" w:cs="Times New Roman"/>
                <w:bCs/>
                <w:color w:val="auto"/>
                <w:sz w:val="15"/>
                <w:szCs w:val="15"/>
              </w:rPr>
              <w:t>5580</w:t>
            </w:r>
          </w:p>
        </w:tc>
        <w:tc>
          <w:tcPr>
            <w:tcW w:w="1939" w:type="dxa"/>
            <w:gridSpan w:val="2"/>
            <w:tcMar>
              <w:left w:w="57" w:type="dxa"/>
              <w:right w:w="57" w:type="dxa"/>
            </w:tcMar>
            <w:vAlign w:val="center"/>
          </w:tcPr>
          <w:p>
            <w:pPr>
              <w:tabs>
                <w:tab w:val="left" w:pos="690"/>
              </w:tabs>
              <w:spacing w:line="240" w:lineRule="exact"/>
              <w:ind w:firstLine="0" w:firstLineChars="0"/>
              <w:rPr>
                <w:rFonts w:cs="Times New Roman"/>
                <w:color w:val="auto"/>
                <w:sz w:val="15"/>
                <w:szCs w:val="15"/>
              </w:rPr>
            </w:pPr>
            <w:r>
              <w:rPr>
                <w:rFonts w:cs="Times New Roman"/>
                <w:b/>
                <w:color w:val="auto"/>
                <w:sz w:val="15"/>
                <w:szCs w:val="15"/>
              </w:rPr>
              <w:t>环保投资总概算（万元）</w:t>
            </w:r>
          </w:p>
        </w:tc>
        <w:tc>
          <w:tcPr>
            <w:tcW w:w="2261"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37</w:t>
            </w:r>
          </w:p>
        </w:tc>
        <w:tc>
          <w:tcPr>
            <w:tcW w:w="1675" w:type="dxa"/>
            <w:gridSpan w:val="3"/>
            <w:tcMar>
              <w:left w:w="57" w:type="dxa"/>
              <w:right w:w="57" w:type="dxa"/>
            </w:tcMar>
            <w:vAlign w:val="center"/>
          </w:tcPr>
          <w:p>
            <w:pPr>
              <w:tabs>
                <w:tab w:val="left" w:pos="690"/>
              </w:tabs>
              <w:spacing w:line="240" w:lineRule="exact"/>
              <w:ind w:firstLine="0" w:firstLineChars="0"/>
              <w:rPr>
                <w:rFonts w:cs="Times New Roman"/>
                <w:color w:val="auto"/>
                <w:sz w:val="15"/>
                <w:szCs w:val="15"/>
              </w:rPr>
            </w:pPr>
            <w:r>
              <w:rPr>
                <w:rFonts w:cs="Times New Roman"/>
                <w:b/>
                <w:color w:val="auto"/>
                <w:sz w:val="15"/>
                <w:szCs w:val="15"/>
              </w:rPr>
              <w:t>所占比例（%）</w:t>
            </w:r>
          </w:p>
        </w:tc>
        <w:tc>
          <w:tcPr>
            <w:tcW w:w="2784" w:type="dxa"/>
            <w:gridSpan w:val="4"/>
            <w:tcMar>
              <w:left w:w="57" w:type="dxa"/>
              <w:right w:w="57" w:type="dxa"/>
            </w:tcMar>
            <w:vAlign w:val="center"/>
          </w:tcPr>
          <w:p>
            <w:pPr>
              <w:tabs>
                <w:tab w:val="left" w:pos="690"/>
              </w:tabs>
              <w:spacing w:line="240" w:lineRule="exact"/>
              <w:ind w:firstLine="0" w:firstLineChars="0"/>
              <w:rPr>
                <w:rFonts w:eastAsia="宋体" w:cs="Times New Roman"/>
                <w:color w:val="auto"/>
                <w:sz w:val="15"/>
                <w:szCs w:val="15"/>
              </w:rPr>
            </w:pPr>
            <w:r>
              <w:rPr>
                <w:rFonts w:eastAsia="宋体" w:cs="Times New Roman"/>
                <w:color w:val="auto"/>
                <w:sz w:val="15"/>
                <w:szCs w:val="15"/>
              </w:rPr>
              <w:t>0.</w:t>
            </w:r>
            <w:r>
              <w:rPr>
                <w:rFonts w:hint="eastAsia" w:eastAsia="宋体" w:cs="Times New Roman"/>
                <w:color w:val="auto"/>
                <w:sz w:val="15"/>
                <w:szCs w:val="15"/>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实际总投资（万元）</w:t>
            </w:r>
          </w:p>
        </w:tc>
        <w:tc>
          <w:tcPr>
            <w:tcW w:w="4871" w:type="dxa"/>
            <w:gridSpan w:val="6"/>
            <w:tcMar>
              <w:left w:w="57" w:type="dxa"/>
              <w:right w:w="57" w:type="dxa"/>
            </w:tcMar>
          </w:tcPr>
          <w:p>
            <w:pPr>
              <w:spacing w:line="240" w:lineRule="exact"/>
              <w:ind w:firstLine="0" w:firstLineChars="0"/>
              <w:rPr>
                <w:rFonts w:hint="eastAsia" w:eastAsia="宋体" w:cs="Times New Roman"/>
                <w:bCs/>
                <w:color w:val="auto"/>
                <w:sz w:val="15"/>
                <w:szCs w:val="15"/>
                <w:lang w:eastAsia="zh-CN"/>
              </w:rPr>
            </w:pPr>
            <w:r>
              <w:rPr>
                <w:rFonts w:hint="eastAsia" w:eastAsia="宋体" w:cs="Times New Roman"/>
                <w:bCs/>
                <w:color w:val="auto"/>
                <w:sz w:val="15"/>
                <w:szCs w:val="15"/>
                <w:lang w:eastAsia="zh-CN"/>
              </w:rPr>
              <w:t>3800</w:t>
            </w:r>
          </w:p>
        </w:tc>
        <w:tc>
          <w:tcPr>
            <w:tcW w:w="1939"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实际环保投资（万元）</w:t>
            </w:r>
          </w:p>
        </w:tc>
        <w:tc>
          <w:tcPr>
            <w:tcW w:w="2261" w:type="dxa"/>
            <w:tcMar>
              <w:left w:w="57" w:type="dxa"/>
              <w:right w:w="57" w:type="dxa"/>
            </w:tcMa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37</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所占比例（%）</w:t>
            </w:r>
          </w:p>
        </w:tc>
        <w:tc>
          <w:tcPr>
            <w:tcW w:w="2784" w:type="dxa"/>
            <w:gridSpan w:val="4"/>
            <w:tcMar>
              <w:left w:w="57" w:type="dxa"/>
              <w:right w:w="57" w:type="dxa"/>
            </w:tcMar>
            <w:vAlign w:val="center"/>
          </w:tcPr>
          <w:p>
            <w:pPr>
              <w:spacing w:line="240" w:lineRule="exact"/>
              <w:ind w:firstLine="0" w:firstLineChars="0"/>
              <w:rPr>
                <w:rFonts w:hint="default" w:eastAsia="宋体" w:cs="Times New Roman"/>
                <w:color w:val="auto"/>
                <w:sz w:val="15"/>
                <w:szCs w:val="15"/>
                <w:lang w:val="en-US" w:eastAsia="zh-CN"/>
              </w:rPr>
            </w:pPr>
            <w:r>
              <w:rPr>
                <w:rFonts w:hint="eastAsia" w:eastAsia="宋体" w:cs="Times New Roman"/>
                <w:color w:val="auto"/>
                <w:sz w:val="15"/>
                <w:szCs w:val="15"/>
              </w:rPr>
              <w:t>0.</w:t>
            </w:r>
            <w:r>
              <w:rPr>
                <w:rFonts w:hint="eastAsia" w:eastAsia="宋体" w:cs="Times New Roman"/>
                <w:color w:val="auto"/>
                <w:sz w:val="15"/>
                <w:szCs w:val="15"/>
                <w:lang w:val="en-US" w:eastAsia="zh-CN"/>
              </w:rPr>
              <w:t>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废水治理（万元）</w:t>
            </w:r>
          </w:p>
        </w:tc>
        <w:tc>
          <w:tcPr>
            <w:tcW w:w="828"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5</w:t>
            </w:r>
          </w:p>
        </w:tc>
        <w:tc>
          <w:tcPr>
            <w:tcW w:w="879" w:type="dxa"/>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废气治理（万元）</w:t>
            </w:r>
          </w:p>
        </w:tc>
        <w:tc>
          <w:tcPr>
            <w:tcW w:w="851"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20</w:t>
            </w:r>
          </w:p>
        </w:tc>
        <w:tc>
          <w:tcPr>
            <w:tcW w:w="1275"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噪声治理（万元）</w:t>
            </w:r>
          </w:p>
        </w:tc>
        <w:tc>
          <w:tcPr>
            <w:tcW w:w="1038"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eastAsia="宋体" w:cs="Times New Roman"/>
                <w:color w:val="auto"/>
                <w:sz w:val="15"/>
                <w:szCs w:val="15"/>
              </w:rPr>
              <w:t>10</w:t>
            </w:r>
          </w:p>
        </w:tc>
        <w:tc>
          <w:tcPr>
            <w:tcW w:w="1939"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固体废物治理（万元）</w:t>
            </w:r>
          </w:p>
        </w:tc>
        <w:tc>
          <w:tcPr>
            <w:tcW w:w="2261"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eastAsia="宋体" w:cs="Times New Roman"/>
                <w:color w:val="auto"/>
                <w:sz w:val="15"/>
                <w:szCs w:val="15"/>
              </w:rPr>
              <w:t>2</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绿化及生态（万元）</w:t>
            </w:r>
          </w:p>
        </w:tc>
        <w:tc>
          <w:tcPr>
            <w:tcW w:w="429" w:type="dxa"/>
            <w:tcMar>
              <w:left w:w="57" w:type="dxa"/>
              <w:right w:w="57" w:type="dxa"/>
            </w:tcMar>
            <w:vAlign w:val="center"/>
          </w:tcPr>
          <w:p>
            <w:pPr>
              <w:spacing w:line="240" w:lineRule="exact"/>
              <w:ind w:firstLine="0" w:firstLineChars="0"/>
              <w:rPr>
                <w:rFonts w:eastAsia="宋体" w:cs="Times New Roman"/>
                <w:color w:val="auto"/>
                <w:sz w:val="15"/>
                <w:szCs w:val="15"/>
              </w:rPr>
            </w:pPr>
            <w:r>
              <w:rPr>
                <w:rFonts w:eastAsia="宋体" w:cs="Times New Roman"/>
                <w:color w:val="auto"/>
                <w:sz w:val="15"/>
                <w:szCs w:val="15"/>
              </w:rPr>
              <w:t>0</w:t>
            </w:r>
          </w:p>
        </w:tc>
        <w:tc>
          <w:tcPr>
            <w:tcW w:w="1032"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其他（万元）</w:t>
            </w:r>
          </w:p>
        </w:tc>
        <w:tc>
          <w:tcPr>
            <w:tcW w:w="1323" w:type="dxa"/>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964"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新增废水处理设施能力</w:t>
            </w:r>
          </w:p>
        </w:tc>
        <w:tc>
          <w:tcPr>
            <w:tcW w:w="4871" w:type="dxa"/>
            <w:gridSpan w:val="6"/>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w:t>
            </w:r>
          </w:p>
        </w:tc>
        <w:tc>
          <w:tcPr>
            <w:tcW w:w="1939"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新增废气处理设施能力</w:t>
            </w:r>
          </w:p>
        </w:tc>
        <w:tc>
          <w:tcPr>
            <w:tcW w:w="2261" w:type="dxa"/>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w:t>
            </w:r>
          </w:p>
        </w:tc>
        <w:tc>
          <w:tcPr>
            <w:tcW w:w="1675" w:type="dxa"/>
            <w:gridSpan w:val="3"/>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年平均工作</w:t>
            </w:r>
            <w:r>
              <w:rPr>
                <w:rFonts w:hint="eastAsia" w:cs="Times New Roman"/>
                <w:b/>
                <w:color w:val="auto"/>
                <w:sz w:val="15"/>
                <w:szCs w:val="15"/>
              </w:rPr>
              <w:t>时间</w:t>
            </w:r>
          </w:p>
        </w:tc>
        <w:tc>
          <w:tcPr>
            <w:tcW w:w="2784" w:type="dxa"/>
            <w:gridSpan w:val="4"/>
            <w:tcMar>
              <w:left w:w="57" w:type="dxa"/>
              <w:right w:w="57" w:type="dxa"/>
            </w:tcMar>
            <w:vAlign w:val="center"/>
          </w:tcPr>
          <w:p>
            <w:pPr>
              <w:spacing w:line="240" w:lineRule="exact"/>
              <w:ind w:firstLine="0" w:firstLineChars="0"/>
              <w:rPr>
                <w:rFonts w:eastAsia="宋体" w:cs="Times New Roman"/>
                <w:color w:val="auto"/>
                <w:sz w:val="15"/>
                <w:szCs w:val="15"/>
              </w:rPr>
            </w:pPr>
            <w:r>
              <w:rPr>
                <w:rFonts w:hint="eastAsia" w:eastAsia="宋体" w:cs="Times New Roman"/>
                <w:color w:val="auto"/>
                <w:sz w:val="15"/>
                <w:szCs w:val="15"/>
              </w:rPr>
              <w:t>7200h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运营单位</w:t>
            </w:r>
          </w:p>
        </w:tc>
        <w:tc>
          <w:tcPr>
            <w:tcW w:w="3408"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hint="eastAsia" w:cs="Times New Roman"/>
                <w:color w:val="auto"/>
                <w:sz w:val="15"/>
                <w:szCs w:val="15"/>
              </w:rPr>
              <w:t>桐乡市鸿尔纺织有限公司</w:t>
            </w:r>
          </w:p>
        </w:tc>
        <w:tc>
          <w:tcPr>
            <w:tcW w:w="3402"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运营单位社会统一信用代码（或组织机构代码）</w:t>
            </w:r>
          </w:p>
        </w:tc>
        <w:tc>
          <w:tcPr>
            <w:tcW w:w="2261" w:type="dxa"/>
            <w:tcMar>
              <w:left w:w="57" w:type="dxa"/>
              <w:right w:w="57" w:type="dxa"/>
            </w:tcMar>
            <w:vAlign w:val="center"/>
          </w:tcPr>
          <w:p>
            <w:pPr>
              <w:spacing w:line="240" w:lineRule="exact"/>
              <w:ind w:firstLine="0" w:firstLineChars="0"/>
              <w:rPr>
                <w:rFonts w:cs="Times New Roman"/>
                <w:b/>
                <w:color w:val="auto"/>
                <w:sz w:val="15"/>
                <w:szCs w:val="15"/>
              </w:rPr>
            </w:pPr>
            <w:r>
              <w:rPr>
                <w:rFonts w:hint="eastAsia" w:eastAsia="宋体" w:cs="Times New Roman"/>
                <w:color w:val="auto"/>
                <w:sz w:val="15"/>
                <w:szCs w:val="15"/>
              </w:rPr>
              <w:t>9133048309472667XB</w:t>
            </w:r>
          </w:p>
        </w:tc>
        <w:tc>
          <w:tcPr>
            <w:tcW w:w="1675" w:type="dxa"/>
            <w:gridSpan w:val="3"/>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验收时间</w:t>
            </w:r>
          </w:p>
        </w:tc>
        <w:tc>
          <w:tcPr>
            <w:tcW w:w="2784" w:type="dxa"/>
            <w:gridSpan w:val="4"/>
            <w:tcMar>
              <w:left w:w="57" w:type="dxa"/>
              <w:right w:w="57" w:type="dxa"/>
            </w:tcMar>
            <w:vAlign w:val="center"/>
          </w:tcPr>
          <w:p>
            <w:pPr>
              <w:spacing w:line="240" w:lineRule="exact"/>
              <w:ind w:firstLine="0" w:firstLineChars="0"/>
              <w:rPr>
                <w:rFonts w:cs="Times New Roman"/>
                <w:color w:val="auto"/>
                <w:sz w:val="15"/>
                <w:szCs w:val="15"/>
              </w:rPr>
            </w:pPr>
            <w:r>
              <w:rPr>
                <w:rFonts w:cs="Times New Roman"/>
                <w:color w:val="auto"/>
                <w:sz w:val="15"/>
                <w:szCs w:val="15"/>
              </w:rPr>
              <w:t>20</w:t>
            </w:r>
            <w:r>
              <w:rPr>
                <w:rFonts w:hint="eastAsia" w:cs="Times New Roman"/>
                <w:color w:val="auto"/>
                <w:sz w:val="15"/>
                <w:szCs w:val="15"/>
              </w:rPr>
              <w:t>22年4月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污染</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物排</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放达</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标与</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总量</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控制</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（工</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业建</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设项</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目详</w:t>
            </w:r>
          </w:p>
          <w:p>
            <w:pPr>
              <w:spacing w:line="240" w:lineRule="exact"/>
              <w:ind w:firstLine="0" w:firstLineChars="0"/>
              <w:jc w:val="center"/>
              <w:rPr>
                <w:rFonts w:eastAsia="黑体" w:cs="Times New Roman"/>
                <w:b/>
                <w:color w:val="auto"/>
                <w:spacing w:val="20"/>
                <w:sz w:val="15"/>
                <w:szCs w:val="15"/>
              </w:rPr>
            </w:pPr>
            <w:r>
              <w:rPr>
                <w:rFonts w:eastAsia="黑体" w:cs="Times New Roman"/>
                <w:b/>
                <w:color w:val="auto"/>
                <w:spacing w:val="20"/>
                <w:sz w:val="15"/>
                <w:szCs w:val="15"/>
              </w:rPr>
              <w:t>填）</w:t>
            </w:r>
          </w:p>
        </w:tc>
        <w:tc>
          <w:tcPr>
            <w:tcW w:w="1796"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污染物</w:t>
            </w:r>
          </w:p>
        </w:tc>
        <w:tc>
          <w:tcPr>
            <w:tcW w:w="828"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原有排</w:t>
            </w:r>
          </w:p>
          <w:p>
            <w:pPr>
              <w:spacing w:line="240" w:lineRule="exact"/>
              <w:ind w:firstLine="0" w:firstLineChars="0"/>
              <w:jc w:val="center"/>
              <w:rPr>
                <w:rFonts w:cs="Times New Roman"/>
                <w:b/>
                <w:color w:val="auto"/>
                <w:sz w:val="15"/>
                <w:szCs w:val="15"/>
              </w:rPr>
            </w:pPr>
            <w:r>
              <w:rPr>
                <w:rFonts w:cs="Times New Roman"/>
                <w:b/>
                <w:color w:val="auto"/>
                <w:sz w:val="15"/>
                <w:szCs w:val="15"/>
              </w:rPr>
              <w:t>放量(1)</w:t>
            </w:r>
          </w:p>
        </w:tc>
        <w:tc>
          <w:tcPr>
            <w:tcW w:w="879"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本期工程实际排放浓度(2)</w:t>
            </w:r>
          </w:p>
        </w:tc>
        <w:tc>
          <w:tcPr>
            <w:tcW w:w="851"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本期工程允许排放浓度(3)</w:t>
            </w:r>
          </w:p>
        </w:tc>
        <w:tc>
          <w:tcPr>
            <w:tcW w:w="850"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本期工程产生量(4)</w:t>
            </w:r>
          </w:p>
        </w:tc>
        <w:tc>
          <w:tcPr>
            <w:tcW w:w="1463" w:type="dxa"/>
            <w:gridSpan w:val="2"/>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本期工程自身削减量(5)</w:t>
            </w:r>
          </w:p>
        </w:tc>
        <w:tc>
          <w:tcPr>
            <w:tcW w:w="1005"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本期工程实际排放量(6)</w:t>
            </w:r>
          </w:p>
        </w:tc>
        <w:tc>
          <w:tcPr>
            <w:tcW w:w="934"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本期工程核定排放总量(7)</w:t>
            </w:r>
          </w:p>
        </w:tc>
        <w:tc>
          <w:tcPr>
            <w:tcW w:w="2261" w:type="dxa"/>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本期工程“以新带老”削减量(8)</w:t>
            </w:r>
          </w:p>
        </w:tc>
        <w:tc>
          <w:tcPr>
            <w:tcW w:w="1041" w:type="dxa"/>
            <w:gridSpan w:val="2"/>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全厂实际排放总量(9)</w:t>
            </w:r>
          </w:p>
        </w:tc>
        <w:tc>
          <w:tcPr>
            <w:tcW w:w="1063" w:type="dxa"/>
            <w:gridSpan w:val="2"/>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全厂核定排放总量(10)</w:t>
            </w:r>
          </w:p>
        </w:tc>
        <w:tc>
          <w:tcPr>
            <w:tcW w:w="1032" w:type="dxa"/>
            <w:gridSpan w:val="2"/>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区域平衡替代削减量(11)</w:t>
            </w:r>
          </w:p>
        </w:tc>
        <w:tc>
          <w:tcPr>
            <w:tcW w:w="1323" w:type="dxa"/>
            <w:tcMar>
              <w:left w:w="57" w:type="dxa"/>
              <w:right w:w="57" w:type="dxa"/>
            </w:tcMar>
            <w:vAlign w:val="center"/>
          </w:tcPr>
          <w:p>
            <w:pPr>
              <w:spacing w:line="240" w:lineRule="exact"/>
              <w:ind w:firstLine="0" w:firstLineChars="0"/>
              <w:jc w:val="center"/>
              <w:rPr>
                <w:rFonts w:cs="Times New Roman"/>
                <w:b/>
                <w:color w:val="auto"/>
                <w:sz w:val="15"/>
                <w:szCs w:val="15"/>
              </w:rPr>
            </w:pPr>
            <w:r>
              <w:rPr>
                <w:rFonts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598" w:type="dxa"/>
            <w:gridSpan w:val="2"/>
            <w:vMerge w:val="continue"/>
            <w:tcMar>
              <w:left w:w="57" w:type="dxa"/>
              <w:right w:w="57" w:type="dxa"/>
            </w:tcMar>
            <w:vAlign w:val="cente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color w:val="auto"/>
                <w:sz w:val="15"/>
                <w:szCs w:val="15"/>
              </w:rPr>
            </w:pPr>
            <w:r>
              <w:rPr>
                <w:rFonts w:cs="Times New Roman"/>
                <w:b/>
                <w:color w:val="auto"/>
                <w:sz w:val="15"/>
                <w:szCs w:val="15"/>
              </w:rPr>
              <w:t>废水</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eastAsia="宋体" w:cs="Times New Roman"/>
                <w:color w:val="auto"/>
                <w:sz w:val="15"/>
                <w:szCs w:val="15"/>
              </w:rPr>
            </w:pPr>
            <w:r>
              <w:rPr>
                <w:rFonts w:hint="eastAsia" w:eastAsia="宋体" w:cs="Times New Roman"/>
                <w:color w:val="auto"/>
                <w:sz w:val="15"/>
                <w:szCs w:val="15"/>
              </w:rPr>
              <w:t>0.2268</w:t>
            </w: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0.324</w:t>
            </w: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eastAsia="宋体" w:cs="Times New Roman"/>
                <w:color w:val="auto"/>
                <w:sz w:val="15"/>
                <w:szCs w:val="15"/>
              </w:rPr>
              <w:t>0.2268</w:t>
            </w: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0.324</w:t>
            </w: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化学需氧量</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0.113</w:t>
            </w: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0.162</w:t>
            </w: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0.113</w:t>
            </w: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0.162</w:t>
            </w: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氨氮</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0.011</w:t>
            </w: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0.016</w:t>
            </w: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0.011</w:t>
            </w: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0.016</w:t>
            </w: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石油类</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eastAsia="黑体" w:cs="Times New Roman"/>
                <w:b/>
                <w:color w:val="auto"/>
                <w:sz w:val="15"/>
                <w:szCs w:val="15"/>
              </w:rPr>
            </w:pPr>
            <w:r>
              <w:rPr>
                <w:rFonts w:cs="Times New Roman"/>
                <w:b/>
                <w:color w:val="auto"/>
                <w:sz w:val="15"/>
                <w:szCs w:val="15"/>
              </w:rPr>
              <w:t>废气</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二氧化硫</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烟尘</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eastAsia="宋体"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eastAsia="宋体"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工业粉尘</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1.222</w:t>
            </w: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1.56</w:t>
            </w: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1.222</w:t>
            </w: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r>
              <w:rPr>
                <w:rFonts w:hint="eastAsia" w:cs="Times New Roman"/>
                <w:color w:val="auto"/>
                <w:sz w:val="15"/>
                <w:szCs w:val="15"/>
              </w:rPr>
              <w:t>1.56</w:t>
            </w: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cs="Times New Roman"/>
                <w:b/>
                <w:color w:val="auto"/>
                <w:sz w:val="15"/>
                <w:szCs w:val="15"/>
              </w:rPr>
            </w:pPr>
            <w:r>
              <w:rPr>
                <w:rFonts w:cs="Times New Roman"/>
                <w:b/>
                <w:color w:val="auto"/>
                <w:sz w:val="15"/>
                <w:szCs w:val="15"/>
              </w:rPr>
              <w:t>氮氧化物</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796" w:type="dxa"/>
            <w:gridSpan w:val="2"/>
            <w:tcMar>
              <w:left w:w="57" w:type="dxa"/>
              <w:right w:w="57" w:type="dxa"/>
            </w:tcMar>
            <w:vAlign w:val="center"/>
          </w:tcPr>
          <w:p>
            <w:pPr>
              <w:spacing w:line="240" w:lineRule="exact"/>
              <w:ind w:firstLine="0" w:firstLineChars="0"/>
              <w:rPr>
                <w:rFonts w:eastAsia="黑体" w:cs="Times New Roman"/>
                <w:b/>
                <w:color w:val="auto"/>
                <w:sz w:val="15"/>
                <w:szCs w:val="15"/>
              </w:rPr>
            </w:pPr>
            <w:r>
              <w:rPr>
                <w:rFonts w:cs="Times New Roman"/>
                <w:b/>
                <w:color w:val="auto"/>
                <w:sz w:val="15"/>
                <w:szCs w:val="15"/>
              </w:rPr>
              <w:t>工业固体废物</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178" w:type="dxa"/>
            <w:vMerge w:val="restart"/>
            <w:tcMar>
              <w:left w:w="57" w:type="dxa"/>
              <w:right w:w="57" w:type="dxa"/>
            </w:tcMar>
          </w:tcPr>
          <w:p>
            <w:pPr>
              <w:spacing w:line="240" w:lineRule="exact"/>
              <w:ind w:firstLine="0" w:firstLineChars="0"/>
              <w:rPr>
                <w:rFonts w:cs="Times New Roman"/>
                <w:color w:val="auto"/>
                <w:sz w:val="15"/>
                <w:szCs w:val="15"/>
              </w:rPr>
            </w:pPr>
            <w:r>
              <w:rPr>
                <w:rFonts w:cs="Times New Roman"/>
                <w:b/>
                <w:color w:val="auto"/>
                <w:sz w:val="15"/>
                <w:szCs w:val="15"/>
              </w:rPr>
              <w:t>与项目有关的其他特征污染物</w:t>
            </w:r>
          </w:p>
        </w:tc>
        <w:tc>
          <w:tcPr>
            <w:tcW w:w="618" w:type="dxa"/>
            <w:tcMar>
              <w:left w:w="57" w:type="dxa"/>
              <w:right w:w="57" w:type="dxa"/>
            </w:tcMar>
            <w:vAlign w:val="center"/>
          </w:tcPr>
          <w:p>
            <w:pPr>
              <w:spacing w:line="240" w:lineRule="exact"/>
              <w:ind w:firstLine="0" w:firstLineChars="0"/>
              <w:rPr>
                <w:rFonts w:cs="Times New Roman"/>
                <w:color w:val="auto"/>
                <w:sz w:val="15"/>
                <w:szCs w:val="15"/>
              </w:rPr>
            </w:pPr>
            <w:r>
              <w:rPr>
                <w:rFonts w:cs="Times New Roman"/>
                <w:color w:val="auto"/>
                <w:sz w:val="15"/>
                <w:szCs w:val="15"/>
              </w:rPr>
              <w:t>VOC</w:t>
            </w:r>
            <w:r>
              <w:rPr>
                <w:rFonts w:cs="Times New Roman"/>
                <w:color w:val="auto"/>
                <w:sz w:val="15"/>
                <w:szCs w:val="15"/>
                <w:vertAlign w:val="subscript"/>
              </w:rPr>
              <w:t>S</w:t>
            </w: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spacing w:line="240" w:lineRule="exact"/>
              <w:ind w:firstLine="0" w:firstLineChars="0"/>
              <w:rPr>
                <w:rFonts w:cs="Times New Roman"/>
                <w:color w:val="auto"/>
                <w:sz w:val="15"/>
                <w:szCs w:val="15"/>
              </w:rPr>
            </w:pPr>
          </w:p>
        </w:tc>
        <w:tc>
          <w:tcPr>
            <w:tcW w:w="1178" w:type="dxa"/>
            <w:vMerge w:val="continue"/>
            <w:tcMar>
              <w:left w:w="57" w:type="dxa"/>
              <w:right w:w="57" w:type="dxa"/>
            </w:tcMar>
          </w:tcPr>
          <w:p>
            <w:pPr>
              <w:spacing w:line="240" w:lineRule="exact"/>
              <w:ind w:firstLine="0" w:firstLineChars="0"/>
              <w:rPr>
                <w:rFonts w:cs="Times New Roman"/>
                <w:b/>
                <w:color w:val="auto"/>
                <w:sz w:val="15"/>
                <w:szCs w:val="15"/>
              </w:rPr>
            </w:pPr>
          </w:p>
        </w:tc>
        <w:tc>
          <w:tcPr>
            <w:tcW w:w="618" w:type="dxa"/>
            <w:tcMar>
              <w:left w:w="57" w:type="dxa"/>
              <w:right w:w="57" w:type="dxa"/>
            </w:tcMar>
            <w:vAlign w:val="center"/>
          </w:tcPr>
          <w:p>
            <w:pPr>
              <w:spacing w:line="240" w:lineRule="exact"/>
              <w:ind w:firstLine="0" w:firstLineChars="0"/>
              <w:rPr>
                <w:rFonts w:cs="Times New Roman"/>
                <w:color w:val="auto"/>
                <w:sz w:val="15"/>
                <w:szCs w:val="15"/>
              </w:rPr>
            </w:pPr>
          </w:p>
        </w:tc>
        <w:tc>
          <w:tcPr>
            <w:tcW w:w="828"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79"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850"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4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05"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934"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2261" w:type="dxa"/>
            <w:tcMar>
              <w:left w:w="57" w:type="dxa"/>
              <w:right w:w="57" w:type="dxa"/>
            </w:tcMar>
            <w:vAlign w:val="center"/>
          </w:tcPr>
          <w:p>
            <w:pPr>
              <w:spacing w:line="240" w:lineRule="exact"/>
              <w:ind w:firstLine="0" w:firstLineChars="0"/>
              <w:jc w:val="center"/>
              <w:rPr>
                <w:rFonts w:cs="Times New Roman"/>
                <w:color w:val="auto"/>
                <w:sz w:val="15"/>
                <w:szCs w:val="15"/>
              </w:rPr>
            </w:pPr>
          </w:p>
        </w:tc>
        <w:tc>
          <w:tcPr>
            <w:tcW w:w="1041"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63"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032" w:type="dxa"/>
            <w:gridSpan w:val="2"/>
            <w:tcMar>
              <w:left w:w="57" w:type="dxa"/>
              <w:right w:w="57" w:type="dxa"/>
            </w:tcMar>
            <w:vAlign w:val="center"/>
          </w:tcPr>
          <w:p>
            <w:pPr>
              <w:spacing w:line="240" w:lineRule="exact"/>
              <w:ind w:firstLine="0" w:firstLineChars="0"/>
              <w:jc w:val="center"/>
              <w:rPr>
                <w:rFonts w:cs="Times New Roman"/>
                <w:color w:val="auto"/>
                <w:sz w:val="15"/>
                <w:szCs w:val="15"/>
              </w:rPr>
            </w:pPr>
          </w:p>
        </w:tc>
        <w:tc>
          <w:tcPr>
            <w:tcW w:w="1323" w:type="dxa"/>
            <w:tcMar>
              <w:left w:w="57" w:type="dxa"/>
              <w:right w:w="57" w:type="dxa"/>
            </w:tcMar>
            <w:vAlign w:val="center"/>
          </w:tcPr>
          <w:p>
            <w:pPr>
              <w:spacing w:line="240" w:lineRule="exact"/>
              <w:ind w:firstLine="0" w:firstLineChars="0"/>
              <w:jc w:val="center"/>
              <w:rPr>
                <w:rFonts w:cs="Times New Roman"/>
                <w:color w:val="auto"/>
                <w:sz w:val="15"/>
                <w:szCs w:val="15"/>
              </w:rPr>
            </w:pPr>
          </w:p>
        </w:tc>
      </w:tr>
    </w:tbl>
    <w:p>
      <w:pPr>
        <w:spacing w:line="240" w:lineRule="exact"/>
        <w:ind w:firstLine="0" w:firstLineChars="0"/>
        <w:jc w:val="left"/>
        <w:rPr>
          <w:rFonts w:cs="Times New Roman"/>
          <w:color w:val="auto"/>
          <w:sz w:val="15"/>
          <w:szCs w:val="15"/>
        </w:rPr>
        <w:sectPr>
          <w:pgSz w:w="16838" w:h="11906" w:orient="landscape"/>
          <w:pgMar w:top="1418" w:right="1701" w:bottom="1021" w:left="1701" w:header="851" w:footer="567" w:gutter="0"/>
          <w:pgNumType w:fmt="numberInDash"/>
          <w:cols w:space="0" w:num="1"/>
          <w:docGrid w:type="lines" w:linePitch="318" w:charSpace="0"/>
        </w:sectPr>
      </w:pPr>
      <w:r>
        <w:rPr>
          <w:rFonts w:cs="Times New Roman"/>
          <w:b/>
          <w:color w:val="auto"/>
          <w:sz w:val="15"/>
          <w:szCs w:val="15"/>
        </w:rPr>
        <w:t>注</w:t>
      </w:r>
      <w:r>
        <w:rPr>
          <w:rFonts w:cs="Times New Roman"/>
          <w:color w:val="auto"/>
          <w:sz w:val="15"/>
          <w:szCs w:val="15"/>
        </w:rPr>
        <w:t>：1、</w:t>
      </w:r>
      <w:r>
        <w:rPr>
          <w:rFonts w:cs="Times New Roman"/>
          <w:color w:val="auto"/>
          <w:spacing w:val="-4"/>
          <w:sz w:val="15"/>
          <w:szCs w:val="15"/>
        </w:rPr>
        <w:t>排放增减量：（+）表示增加，（-）表示减少。2、(12)=(6)-(8)-(11)，（9）=(4)-(5)-(8)-(11)+（1）。3、计量单位：废水排放量——万吨/年；废气排放量——万标立方米/年；工业固体废物排放</w:t>
      </w:r>
      <w:r>
        <w:rPr>
          <w:rFonts w:cs="Times New Roman"/>
          <w:color w:val="auto"/>
          <w:sz w:val="15"/>
          <w:szCs w:val="15"/>
        </w:rPr>
        <w:t>量——万吨/年；水污染物排放浓度——毫克/升</w:t>
      </w:r>
    </w:p>
    <w:p>
      <w:pPr>
        <w:pStyle w:val="4"/>
        <w:rPr>
          <w:color w:val="auto"/>
        </w:rPr>
      </w:pPr>
      <w:r>
        <w:rPr>
          <w:rFonts w:hint="eastAsia"/>
          <w:color w:val="auto"/>
        </w:rPr>
        <w:t>附件</w:t>
      </w:r>
    </w:p>
    <w:p>
      <w:pPr>
        <w:pStyle w:val="5"/>
        <w:rPr>
          <w:color w:val="auto"/>
        </w:rPr>
      </w:pPr>
      <w:r>
        <w:rPr>
          <w:rFonts w:hint="eastAsia"/>
          <w:color w:val="auto"/>
        </w:rPr>
        <w:t>附件1营业执照</w:t>
      </w:r>
    </w:p>
    <w:p>
      <w:pPr>
        <w:ind w:firstLine="0" w:firstLineChars="0"/>
        <w:jc w:val="center"/>
        <w:rPr>
          <w:color w:val="auto"/>
        </w:rPr>
      </w:pPr>
      <w:r>
        <w:rPr>
          <w:rFonts w:hint="eastAsia"/>
          <w:color w:val="auto"/>
        </w:rPr>
        <w:drawing>
          <wp:inline distT="0" distB="0" distL="114300" distR="114300">
            <wp:extent cx="5391150" cy="7620000"/>
            <wp:effectExtent l="0" t="0" r="0" b="0"/>
            <wp:docPr id="14" name="图片 14"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营业执照"/>
                    <pic:cNvPicPr>
                      <a:picLocks noChangeAspect="1"/>
                    </pic:cNvPicPr>
                  </pic:nvPicPr>
                  <pic:blipFill>
                    <a:blip r:embed="rId35"/>
                    <a:stretch>
                      <a:fillRect/>
                    </a:stretch>
                  </pic:blipFill>
                  <pic:spPr>
                    <a:xfrm>
                      <a:off x="0" y="0"/>
                      <a:ext cx="5391150" cy="7620000"/>
                    </a:xfrm>
                    <a:prstGeom prst="rect">
                      <a:avLst/>
                    </a:prstGeom>
                  </pic:spPr>
                </pic:pic>
              </a:graphicData>
            </a:graphic>
          </wp:inline>
        </w:drawing>
      </w:r>
    </w:p>
    <w:p>
      <w:pPr>
        <w:ind w:firstLine="480"/>
        <w:rPr>
          <w:color w:val="auto"/>
        </w:rPr>
        <w:sectPr>
          <w:footerReference r:id="rId26" w:type="default"/>
          <w:pgSz w:w="11906" w:h="16838"/>
          <w:pgMar w:top="1418" w:right="1701" w:bottom="1418" w:left="1701" w:header="851" w:footer="992" w:gutter="0"/>
          <w:pgNumType w:fmt="numberInDash"/>
          <w:cols w:space="0" w:num="1"/>
          <w:docGrid w:type="lines" w:linePitch="332" w:charSpace="0"/>
        </w:sectPr>
      </w:pPr>
    </w:p>
    <w:p>
      <w:pPr>
        <w:pStyle w:val="5"/>
        <w:rPr>
          <w:color w:val="auto"/>
        </w:rPr>
      </w:pPr>
      <w:r>
        <w:rPr>
          <w:rFonts w:hint="eastAsia"/>
          <w:color w:val="auto"/>
        </w:rPr>
        <w:t>附件2环评批复</w:t>
      </w:r>
    </w:p>
    <w:p>
      <w:pPr>
        <w:ind w:firstLine="480"/>
        <w:jc w:val="center"/>
        <w:rPr>
          <w:color w:val="auto"/>
        </w:rPr>
      </w:pPr>
      <w:r>
        <w:rPr>
          <w:rFonts w:hint="eastAsia"/>
          <w:color w:val="auto"/>
        </w:rPr>
        <w:drawing>
          <wp:inline distT="0" distB="0" distL="114300" distR="114300">
            <wp:extent cx="5472430" cy="7931150"/>
            <wp:effectExtent l="0" t="0" r="13970" b="12700"/>
            <wp:docPr id="32" name="图片 32" descr="扫描宝文档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宝文档_页面_1"/>
                    <pic:cNvPicPr>
                      <a:picLocks noChangeAspect="1"/>
                    </pic:cNvPicPr>
                  </pic:nvPicPr>
                  <pic:blipFill>
                    <a:blip r:embed="rId36"/>
                    <a:srcRect l="4963" b="5949"/>
                    <a:stretch>
                      <a:fillRect/>
                    </a:stretch>
                  </pic:blipFill>
                  <pic:spPr>
                    <a:xfrm>
                      <a:off x="0" y="0"/>
                      <a:ext cx="5472430" cy="7931150"/>
                    </a:xfrm>
                    <a:prstGeom prst="rect">
                      <a:avLst/>
                    </a:prstGeom>
                  </pic:spPr>
                </pic:pic>
              </a:graphicData>
            </a:graphic>
          </wp:inline>
        </w:drawing>
      </w:r>
      <w:r>
        <w:rPr>
          <w:rFonts w:hint="eastAsia"/>
          <w:color w:val="auto"/>
        </w:rPr>
        <w:drawing>
          <wp:inline distT="0" distB="0" distL="114300" distR="114300">
            <wp:extent cx="5408295" cy="7859395"/>
            <wp:effectExtent l="0" t="0" r="1905" b="8255"/>
            <wp:docPr id="28" name="图片 28" descr="扫描宝文档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宝文档_页面_2"/>
                    <pic:cNvPicPr>
                      <a:picLocks noChangeAspect="1"/>
                    </pic:cNvPicPr>
                  </pic:nvPicPr>
                  <pic:blipFill>
                    <a:blip r:embed="rId37"/>
                    <a:srcRect l="6014" b="3403"/>
                    <a:stretch>
                      <a:fillRect/>
                    </a:stretch>
                  </pic:blipFill>
                  <pic:spPr>
                    <a:xfrm>
                      <a:off x="0" y="0"/>
                      <a:ext cx="5408295" cy="7859395"/>
                    </a:xfrm>
                    <a:prstGeom prst="rect">
                      <a:avLst/>
                    </a:prstGeom>
                  </pic:spPr>
                </pic:pic>
              </a:graphicData>
            </a:graphic>
          </wp:inline>
        </w:drawing>
      </w:r>
      <w:r>
        <w:rPr>
          <w:rFonts w:hint="eastAsia"/>
          <w:color w:val="auto"/>
        </w:rPr>
        <w:drawing>
          <wp:inline distT="0" distB="0" distL="114300" distR="114300">
            <wp:extent cx="5177790" cy="8162925"/>
            <wp:effectExtent l="0" t="0" r="3810" b="9525"/>
            <wp:docPr id="25" name="图片 25" descr="扫描宝文档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宝文档_页面_3"/>
                    <pic:cNvPicPr>
                      <a:picLocks noChangeAspect="1"/>
                    </pic:cNvPicPr>
                  </pic:nvPicPr>
                  <pic:blipFill>
                    <a:blip r:embed="rId38"/>
                    <a:srcRect b="4267"/>
                    <a:stretch>
                      <a:fillRect/>
                    </a:stretch>
                  </pic:blipFill>
                  <pic:spPr>
                    <a:xfrm>
                      <a:off x="0" y="0"/>
                      <a:ext cx="5177790" cy="8162925"/>
                    </a:xfrm>
                    <a:prstGeom prst="rect">
                      <a:avLst/>
                    </a:prstGeom>
                  </pic:spPr>
                </pic:pic>
              </a:graphicData>
            </a:graphic>
          </wp:inline>
        </w:drawing>
      </w:r>
    </w:p>
    <w:p>
      <w:pPr>
        <w:ind w:firstLine="480"/>
        <w:rPr>
          <w:color w:val="auto"/>
        </w:rPr>
        <w:sectPr>
          <w:pgSz w:w="11906" w:h="16838"/>
          <w:pgMar w:top="1701" w:right="1418" w:bottom="1701" w:left="1418" w:header="851" w:footer="992" w:gutter="0"/>
          <w:pgNumType w:fmt="numberInDash"/>
          <w:cols w:space="0" w:num="1"/>
          <w:docGrid w:type="lines" w:linePitch="332" w:charSpace="0"/>
        </w:sectPr>
      </w:pPr>
    </w:p>
    <w:p>
      <w:pPr>
        <w:pStyle w:val="5"/>
        <w:rPr>
          <w:color w:val="auto"/>
        </w:rPr>
      </w:pPr>
      <w:r>
        <w:rPr>
          <w:rFonts w:hint="eastAsia"/>
          <w:color w:val="auto"/>
        </w:rPr>
        <w:t>附件3排污许可登记回执</w:t>
      </w:r>
    </w:p>
    <w:p>
      <w:pPr>
        <w:ind w:firstLine="0" w:firstLineChars="0"/>
        <w:jc w:val="center"/>
        <w:rPr>
          <w:color w:val="auto"/>
        </w:rPr>
      </w:pPr>
      <w:r>
        <w:rPr>
          <w:rFonts w:hint="eastAsia"/>
          <w:color w:val="auto"/>
        </w:rPr>
        <w:drawing>
          <wp:inline distT="0" distB="0" distL="114300" distR="114300">
            <wp:extent cx="5753100" cy="7198360"/>
            <wp:effectExtent l="0" t="0" r="0" b="2540"/>
            <wp:docPr id="33" name="图片 33" descr="排污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排污许可证"/>
                    <pic:cNvPicPr>
                      <a:picLocks noChangeAspect="1"/>
                    </pic:cNvPicPr>
                  </pic:nvPicPr>
                  <pic:blipFill>
                    <a:blip r:embed="rId39"/>
                    <a:stretch>
                      <a:fillRect/>
                    </a:stretch>
                  </pic:blipFill>
                  <pic:spPr>
                    <a:xfrm>
                      <a:off x="0" y="0"/>
                      <a:ext cx="5753100" cy="7198360"/>
                    </a:xfrm>
                    <a:prstGeom prst="rect">
                      <a:avLst/>
                    </a:prstGeom>
                  </pic:spPr>
                </pic:pic>
              </a:graphicData>
            </a:graphic>
          </wp:inline>
        </w:drawing>
      </w:r>
    </w:p>
    <w:p>
      <w:pPr>
        <w:pStyle w:val="5"/>
        <w:rPr>
          <w:color w:val="auto"/>
        </w:rPr>
        <w:sectPr>
          <w:pgSz w:w="11906" w:h="16838"/>
          <w:pgMar w:top="1701" w:right="1418" w:bottom="1701" w:left="1418" w:header="851" w:footer="992" w:gutter="0"/>
          <w:pgNumType w:fmt="numberInDash"/>
          <w:cols w:space="0" w:num="1"/>
          <w:docGrid w:type="lines" w:linePitch="332" w:charSpace="0"/>
        </w:sectPr>
      </w:pPr>
    </w:p>
    <w:p>
      <w:pPr>
        <w:pStyle w:val="5"/>
        <w:rPr>
          <w:color w:val="auto"/>
        </w:rPr>
      </w:pPr>
      <w:r>
        <w:rPr>
          <w:rFonts w:hint="eastAsia"/>
          <w:color w:val="auto"/>
        </w:rPr>
        <w:t>附件</w:t>
      </w:r>
      <w:r>
        <w:rPr>
          <w:color w:val="auto"/>
        </w:rPr>
        <w:t>4</w:t>
      </w:r>
      <w:r>
        <w:rPr>
          <w:rFonts w:hint="eastAsia"/>
          <w:color w:val="auto"/>
        </w:rPr>
        <w:t>公司用水情况</w:t>
      </w:r>
    </w:p>
    <w:p>
      <w:pPr>
        <w:pStyle w:val="2"/>
        <w:ind w:left="0" w:leftChars="0" w:firstLine="0" w:firstLineChars="0"/>
        <w:jc w:val="center"/>
        <w:rPr>
          <w:color w:val="auto"/>
        </w:rPr>
        <w:sectPr>
          <w:pgSz w:w="11906" w:h="16838"/>
          <w:pgMar w:top="1701" w:right="1418" w:bottom="1701" w:left="1418" w:header="851" w:footer="992" w:gutter="0"/>
          <w:pgNumType w:fmt="numberInDash"/>
          <w:cols w:space="0" w:num="1"/>
          <w:docGrid w:type="lines" w:linePitch="332" w:charSpace="0"/>
        </w:sectPr>
      </w:pPr>
      <w:r>
        <w:rPr>
          <w:rFonts w:hint="eastAsia"/>
          <w:color w:val="auto"/>
        </w:rPr>
        <w:drawing>
          <wp:inline distT="0" distB="0" distL="114300" distR="114300">
            <wp:extent cx="5452110" cy="7710170"/>
            <wp:effectExtent l="0" t="0" r="15240" b="5080"/>
            <wp:docPr id="5" name="图片 5" descr="表格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_页面_1"/>
                    <pic:cNvPicPr>
                      <a:picLocks noChangeAspect="1"/>
                    </pic:cNvPicPr>
                  </pic:nvPicPr>
                  <pic:blipFill>
                    <a:blip r:embed="rId40"/>
                    <a:stretch>
                      <a:fillRect/>
                    </a:stretch>
                  </pic:blipFill>
                  <pic:spPr>
                    <a:xfrm>
                      <a:off x="0" y="0"/>
                      <a:ext cx="5452110" cy="7710170"/>
                    </a:xfrm>
                    <a:prstGeom prst="rect">
                      <a:avLst/>
                    </a:prstGeom>
                  </pic:spPr>
                </pic:pic>
              </a:graphicData>
            </a:graphic>
          </wp:inline>
        </w:drawing>
      </w:r>
    </w:p>
    <w:p>
      <w:pPr>
        <w:pStyle w:val="5"/>
        <w:rPr>
          <w:color w:val="auto"/>
        </w:rPr>
      </w:pPr>
      <w:r>
        <w:rPr>
          <w:rFonts w:hint="eastAsia"/>
          <w:color w:val="auto"/>
        </w:rPr>
        <w:t>附件</w:t>
      </w:r>
      <w:r>
        <w:rPr>
          <w:color w:val="auto"/>
        </w:rPr>
        <w:t>5</w:t>
      </w:r>
      <w:r>
        <w:rPr>
          <w:rFonts w:hint="eastAsia"/>
          <w:color w:val="auto"/>
        </w:rPr>
        <w:t>检测报告</w:t>
      </w:r>
    </w:p>
    <w:p>
      <w:pPr>
        <w:pStyle w:val="2"/>
        <w:ind w:left="0" w:leftChars="0" w:firstLine="0" w:firstLineChars="0"/>
        <w:rPr>
          <w:rFonts w:hint="eastAsia" w:eastAsiaTheme="minorEastAsia"/>
          <w:color w:val="auto"/>
          <w:lang w:eastAsia="zh-CN"/>
        </w:rPr>
      </w:pPr>
      <w:r>
        <w:rPr>
          <w:rFonts w:hint="eastAsia" w:eastAsiaTheme="minorEastAsia"/>
          <w:color w:val="auto"/>
          <w:lang w:eastAsia="zh-CN"/>
        </w:rPr>
        <w:drawing>
          <wp:inline distT="0" distB="0" distL="114300" distR="114300">
            <wp:extent cx="5396865" cy="7630160"/>
            <wp:effectExtent l="0" t="0" r="13335" b="8890"/>
            <wp:docPr id="60" name="图片 60" descr="20211100113-1鸿尔纺织（全）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11100113-1鸿尔纺织（全）_页面_01"/>
                    <pic:cNvPicPr>
                      <a:picLocks noChangeAspect="1"/>
                    </pic:cNvPicPr>
                  </pic:nvPicPr>
                  <pic:blipFill>
                    <a:blip r:embed="rId41"/>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9" name="图片 59" descr="20211100113-1鸿尔纺织（全）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11100113-1鸿尔纺织（全）_页面_02"/>
                    <pic:cNvPicPr>
                      <a:picLocks noChangeAspect="1"/>
                    </pic:cNvPicPr>
                  </pic:nvPicPr>
                  <pic:blipFill>
                    <a:blip r:embed="rId42"/>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8" name="图片 58" descr="20211100113-1鸿尔纺织（全）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211100113-1鸿尔纺织（全）_页面_03"/>
                    <pic:cNvPicPr>
                      <a:picLocks noChangeAspect="1"/>
                    </pic:cNvPicPr>
                  </pic:nvPicPr>
                  <pic:blipFill>
                    <a:blip r:embed="rId43"/>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7" name="图片 57" descr="20211100113-1鸿尔纺织（全）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211100113-1鸿尔纺织（全）_页面_04"/>
                    <pic:cNvPicPr>
                      <a:picLocks noChangeAspect="1"/>
                    </pic:cNvPicPr>
                  </pic:nvPicPr>
                  <pic:blipFill>
                    <a:blip r:embed="rId44"/>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6" name="图片 56" descr="20211100113-1鸿尔纺织（全）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211100113-1鸿尔纺织（全）_页面_05"/>
                    <pic:cNvPicPr>
                      <a:picLocks noChangeAspect="1"/>
                    </pic:cNvPicPr>
                  </pic:nvPicPr>
                  <pic:blipFill>
                    <a:blip r:embed="rId45"/>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5" name="图片 55" descr="20211100113-1鸿尔纺织（全）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11100113-1鸿尔纺织（全）_页面_06"/>
                    <pic:cNvPicPr>
                      <a:picLocks noChangeAspect="1"/>
                    </pic:cNvPicPr>
                  </pic:nvPicPr>
                  <pic:blipFill>
                    <a:blip r:embed="rId46"/>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4" name="图片 54" descr="20211100113-1鸿尔纺织（全）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211100113-1鸿尔纺织（全）_页面_07"/>
                    <pic:cNvPicPr>
                      <a:picLocks noChangeAspect="1"/>
                    </pic:cNvPicPr>
                  </pic:nvPicPr>
                  <pic:blipFill>
                    <a:blip r:embed="rId47"/>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3" name="图片 53" descr="20211100113-1鸿尔纺织（全）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11100113-1鸿尔纺织（全）_页面_08"/>
                    <pic:cNvPicPr>
                      <a:picLocks noChangeAspect="1"/>
                    </pic:cNvPicPr>
                  </pic:nvPicPr>
                  <pic:blipFill>
                    <a:blip r:embed="rId48"/>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2" name="图片 52" descr="20211100113-1鸿尔纺织（全）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11100113-1鸿尔纺织（全）_页面_09"/>
                    <pic:cNvPicPr>
                      <a:picLocks noChangeAspect="1"/>
                    </pic:cNvPicPr>
                  </pic:nvPicPr>
                  <pic:blipFill>
                    <a:blip r:embed="rId49"/>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1" name="图片 51" descr="20211100113-1鸿尔纺织（全）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11100113-1鸿尔纺织（全）_页面_10"/>
                    <pic:cNvPicPr>
                      <a:picLocks noChangeAspect="1"/>
                    </pic:cNvPicPr>
                  </pic:nvPicPr>
                  <pic:blipFill>
                    <a:blip r:embed="rId50"/>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50" name="图片 50" descr="20211100113-1鸿尔纺织（全）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11100113-1鸿尔纺织（全）_页面_11"/>
                    <pic:cNvPicPr>
                      <a:picLocks noChangeAspect="1"/>
                    </pic:cNvPicPr>
                  </pic:nvPicPr>
                  <pic:blipFill>
                    <a:blip r:embed="rId51"/>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49" name="图片 49" descr="20220202577-1鸿尔纺织（颗粒物）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20202577-1鸿尔纺织（颗粒物）_页面_1"/>
                    <pic:cNvPicPr>
                      <a:picLocks noChangeAspect="1"/>
                    </pic:cNvPicPr>
                  </pic:nvPicPr>
                  <pic:blipFill>
                    <a:blip r:embed="rId52"/>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48" name="图片 48" descr="20220202577-1鸿尔纺织（颗粒物）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20202577-1鸿尔纺织（颗粒物）_页面_2"/>
                    <pic:cNvPicPr>
                      <a:picLocks noChangeAspect="1"/>
                    </pic:cNvPicPr>
                  </pic:nvPicPr>
                  <pic:blipFill>
                    <a:blip r:embed="rId53"/>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47" name="图片 47" descr="20220202577-1鸿尔纺织（颗粒物）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20202577-1鸿尔纺织（颗粒物）_页面_3"/>
                    <pic:cNvPicPr>
                      <a:picLocks noChangeAspect="1"/>
                    </pic:cNvPicPr>
                  </pic:nvPicPr>
                  <pic:blipFill>
                    <a:blip r:embed="rId54"/>
                    <a:stretch>
                      <a:fillRect/>
                    </a:stretch>
                  </pic:blipFill>
                  <pic:spPr>
                    <a:xfrm>
                      <a:off x="0" y="0"/>
                      <a:ext cx="5396865" cy="7630160"/>
                    </a:xfrm>
                    <a:prstGeom prst="rect">
                      <a:avLst/>
                    </a:prstGeom>
                  </pic:spPr>
                </pic:pic>
              </a:graphicData>
            </a:graphic>
          </wp:inline>
        </w:drawing>
      </w:r>
      <w:r>
        <w:rPr>
          <w:rFonts w:hint="eastAsia" w:eastAsiaTheme="minorEastAsia"/>
          <w:color w:val="auto"/>
          <w:lang w:eastAsia="zh-CN"/>
        </w:rPr>
        <w:drawing>
          <wp:inline distT="0" distB="0" distL="114300" distR="114300">
            <wp:extent cx="5396865" cy="7630160"/>
            <wp:effectExtent l="0" t="0" r="13335" b="8890"/>
            <wp:docPr id="46" name="图片 46" descr="20220202577-1鸿尔纺织（颗粒物）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20202577-1鸿尔纺织（颗粒物）_页面_4"/>
                    <pic:cNvPicPr>
                      <a:picLocks noChangeAspect="1"/>
                    </pic:cNvPicPr>
                  </pic:nvPicPr>
                  <pic:blipFill>
                    <a:blip r:embed="rId55"/>
                    <a:stretch>
                      <a:fillRect/>
                    </a:stretch>
                  </pic:blipFill>
                  <pic:spPr>
                    <a:xfrm>
                      <a:off x="0" y="0"/>
                      <a:ext cx="5396865" cy="7630160"/>
                    </a:xfrm>
                    <a:prstGeom prst="rect">
                      <a:avLst/>
                    </a:prstGeom>
                  </pic:spPr>
                </pic:pic>
              </a:graphicData>
            </a:graphic>
          </wp:inline>
        </w:drawing>
      </w:r>
      <w:bookmarkStart w:id="106" w:name="_GoBack"/>
      <w:r>
        <w:rPr>
          <w:rFonts w:hint="eastAsia" w:eastAsiaTheme="minorEastAsia"/>
          <w:color w:val="auto"/>
          <w:lang w:eastAsia="zh-CN"/>
        </w:rPr>
        <w:drawing>
          <wp:inline distT="0" distB="0" distL="114300" distR="114300">
            <wp:extent cx="5396865" cy="7630160"/>
            <wp:effectExtent l="0" t="0" r="13335" b="8890"/>
            <wp:docPr id="45" name="图片 45" descr="20220202577-1鸿尔纺织（颗粒物）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20202577-1鸿尔纺织（颗粒物）_页面_5"/>
                    <pic:cNvPicPr>
                      <a:picLocks noChangeAspect="1"/>
                    </pic:cNvPicPr>
                  </pic:nvPicPr>
                  <pic:blipFill>
                    <a:blip r:embed="rId56"/>
                    <a:stretch>
                      <a:fillRect/>
                    </a:stretch>
                  </pic:blipFill>
                  <pic:spPr>
                    <a:xfrm>
                      <a:off x="0" y="0"/>
                      <a:ext cx="5396865" cy="7630160"/>
                    </a:xfrm>
                    <a:prstGeom prst="rect">
                      <a:avLst/>
                    </a:prstGeom>
                  </pic:spPr>
                </pic:pic>
              </a:graphicData>
            </a:graphic>
          </wp:inline>
        </w:drawing>
      </w:r>
      <w:bookmarkEnd w:id="106"/>
    </w:p>
    <w:p>
      <w:pPr>
        <w:pStyle w:val="2"/>
        <w:ind w:left="0" w:leftChars="0" w:firstLine="0" w:firstLineChars="0"/>
        <w:rPr>
          <w:color w:val="auto"/>
        </w:rPr>
      </w:pPr>
    </w:p>
    <w:p>
      <w:pPr>
        <w:pStyle w:val="2"/>
        <w:ind w:left="0" w:leftChars="0" w:firstLine="0" w:firstLineChars="0"/>
        <w:rPr>
          <w:color w:val="auto"/>
        </w:rPr>
        <w:sectPr>
          <w:pgSz w:w="11906" w:h="16838"/>
          <w:pgMar w:top="1418" w:right="1701" w:bottom="1418" w:left="1701" w:header="851" w:footer="992" w:gutter="0"/>
          <w:pgNumType w:fmt="numberInDash"/>
          <w:cols w:space="0" w:num="1"/>
          <w:docGrid w:type="lines" w:linePitch="332" w:charSpace="0"/>
        </w:sectPr>
      </w:pPr>
    </w:p>
    <w:p>
      <w:pPr>
        <w:pStyle w:val="5"/>
        <w:rPr>
          <w:color w:val="auto"/>
        </w:rPr>
      </w:pPr>
      <w:r>
        <w:rPr>
          <w:rFonts w:hint="eastAsia"/>
          <w:color w:val="auto"/>
        </w:rPr>
        <w:t>附件</w:t>
      </w:r>
      <w:r>
        <w:rPr>
          <w:color w:val="auto"/>
        </w:rPr>
        <w:t>6</w:t>
      </w:r>
      <w:r>
        <w:rPr>
          <w:rFonts w:hint="eastAsia"/>
          <w:color w:val="auto"/>
        </w:rPr>
        <w:t>本项目生产日报表</w:t>
      </w:r>
    </w:p>
    <w:p>
      <w:pPr>
        <w:ind w:firstLine="0" w:firstLineChars="0"/>
        <w:jc w:val="center"/>
        <w:rPr>
          <w:b/>
          <w:bCs/>
          <w:color w:val="auto"/>
        </w:rPr>
      </w:pPr>
      <w:r>
        <w:rPr>
          <w:rFonts w:hint="eastAsia"/>
          <w:b/>
          <w:bCs/>
          <w:color w:val="auto"/>
        </w:rPr>
        <w:drawing>
          <wp:inline distT="0" distB="0" distL="114300" distR="114300">
            <wp:extent cx="5399405" cy="7635240"/>
            <wp:effectExtent l="0" t="0" r="10795" b="3810"/>
            <wp:docPr id="4" name="图片 4" descr="表格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格_页面_4"/>
                    <pic:cNvPicPr>
                      <a:picLocks noChangeAspect="1"/>
                    </pic:cNvPicPr>
                  </pic:nvPicPr>
                  <pic:blipFill>
                    <a:blip r:embed="rId57"/>
                    <a:stretch>
                      <a:fillRect/>
                    </a:stretch>
                  </pic:blipFill>
                  <pic:spPr>
                    <a:xfrm>
                      <a:off x="0" y="0"/>
                      <a:ext cx="5399405" cy="7635240"/>
                    </a:xfrm>
                    <a:prstGeom prst="rect">
                      <a:avLst/>
                    </a:prstGeom>
                  </pic:spPr>
                </pic:pic>
              </a:graphicData>
            </a:graphic>
          </wp:inline>
        </w:drawing>
      </w:r>
    </w:p>
    <w:p>
      <w:pPr>
        <w:ind w:firstLine="0" w:firstLineChars="0"/>
        <w:rPr>
          <w:color w:val="auto"/>
        </w:rPr>
      </w:pPr>
      <w:r>
        <w:rPr>
          <w:rFonts w:hint="eastAsia"/>
          <w:b/>
          <w:bCs/>
          <w:color w:val="auto"/>
        </w:rPr>
        <w:br w:type="page"/>
      </w:r>
    </w:p>
    <w:p>
      <w:pPr>
        <w:pStyle w:val="5"/>
        <w:rPr>
          <w:color w:val="auto"/>
        </w:rPr>
      </w:pPr>
      <w:r>
        <w:rPr>
          <w:rFonts w:hint="eastAsia"/>
          <w:color w:val="auto"/>
        </w:rPr>
        <w:t>附件</w:t>
      </w:r>
      <w:r>
        <w:rPr>
          <w:color w:val="auto"/>
        </w:rPr>
        <w:t>7</w:t>
      </w:r>
      <w:r>
        <w:rPr>
          <w:rFonts w:hint="eastAsia"/>
          <w:color w:val="auto"/>
        </w:rPr>
        <w:t>本项目生产设备清单</w:t>
      </w:r>
    </w:p>
    <w:p>
      <w:pPr>
        <w:ind w:firstLine="0" w:firstLineChars="0"/>
        <w:rPr>
          <w:b/>
          <w:bCs/>
          <w:color w:val="auto"/>
        </w:rPr>
      </w:pPr>
      <w:r>
        <w:rPr>
          <w:rFonts w:hint="eastAsia"/>
          <w:b/>
          <w:bCs/>
          <w:color w:val="auto"/>
        </w:rPr>
        <w:drawing>
          <wp:inline distT="0" distB="0" distL="114300" distR="114300">
            <wp:extent cx="5399405" cy="7635240"/>
            <wp:effectExtent l="0" t="0" r="10795" b="3810"/>
            <wp:docPr id="8" name="图片 8" descr="表格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_页面_3"/>
                    <pic:cNvPicPr>
                      <a:picLocks noChangeAspect="1"/>
                    </pic:cNvPicPr>
                  </pic:nvPicPr>
                  <pic:blipFill>
                    <a:blip r:embed="rId58"/>
                    <a:stretch>
                      <a:fillRect/>
                    </a:stretch>
                  </pic:blipFill>
                  <pic:spPr>
                    <a:xfrm>
                      <a:off x="0" y="0"/>
                      <a:ext cx="5399405" cy="7635240"/>
                    </a:xfrm>
                    <a:prstGeom prst="rect">
                      <a:avLst/>
                    </a:prstGeom>
                  </pic:spPr>
                </pic:pic>
              </a:graphicData>
            </a:graphic>
          </wp:inline>
        </w:drawing>
      </w:r>
    </w:p>
    <w:p>
      <w:pPr>
        <w:ind w:firstLine="0" w:firstLineChars="0"/>
        <w:rPr>
          <w:color w:val="auto"/>
        </w:rPr>
      </w:pPr>
      <w:r>
        <w:rPr>
          <w:rFonts w:hint="eastAsia"/>
          <w:b/>
          <w:bCs/>
          <w:color w:val="auto"/>
        </w:rPr>
        <w:br w:type="page"/>
      </w:r>
    </w:p>
    <w:p>
      <w:pPr>
        <w:pStyle w:val="5"/>
        <w:rPr>
          <w:color w:val="auto"/>
        </w:rPr>
      </w:pPr>
      <w:r>
        <w:rPr>
          <w:rFonts w:hint="eastAsia"/>
          <w:color w:val="auto"/>
        </w:rPr>
        <w:t>附件</w:t>
      </w:r>
      <w:r>
        <w:rPr>
          <w:color w:val="auto"/>
        </w:rPr>
        <w:t>8</w:t>
      </w:r>
      <w:r>
        <w:rPr>
          <w:rFonts w:hint="eastAsia"/>
          <w:color w:val="auto"/>
        </w:rPr>
        <w:t>本项目原辅材料消耗统计表</w:t>
      </w:r>
    </w:p>
    <w:p>
      <w:pPr>
        <w:pStyle w:val="30"/>
        <w:spacing w:before="166" w:beforeLines="50" w:after="33"/>
        <w:rPr>
          <w:rFonts w:hint="eastAsia" w:eastAsiaTheme="minorEastAsia"/>
          <w:color w:val="auto"/>
          <w:lang w:eastAsia="zh-CN"/>
        </w:rPr>
      </w:pPr>
      <w:r>
        <w:rPr>
          <w:rFonts w:hint="eastAsia" w:eastAsiaTheme="minorEastAsia"/>
          <w:color w:val="auto"/>
          <w:lang w:eastAsia="zh-CN"/>
        </w:rPr>
        <w:drawing>
          <wp:inline distT="0" distB="0" distL="114300" distR="114300">
            <wp:extent cx="5399405" cy="7635240"/>
            <wp:effectExtent l="0" t="0" r="10795" b="3810"/>
            <wp:docPr id="9" name="图片 9" descr="表格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格_页面_2"/>
                    <pic:cNvPicPr>
                      <a:picLocks noChangeAspect="1"/>
                    </pic:cNvPicPr>
                  </pic:nvPicPr>
                  <pic:blipFill>
                    <a:blip r:embed="rId59"/>
                    <a:stretch>
                      <a:fillRect/>
                    </a:stretch>
                  </pic:blipFill>
                  <pic:spPr>
                    <a:xfrm>
                      <a:off x="0" y="0"/>
                      <a:ext cx="5399405" cy="7635240"/>
                    </a:xfrm>
                    <a:prstGeom prst="rect">
                      <a:avLst/>
                    </a:prstGeom>
                  </pic:spPr>
                </pic:pic>
              </a:graphicData>
            </a:graphic>
          </wp:inline>
        </w:drawing>
      </w:r>
    </w:p>
    <w:p>
      <w:pPr>
        <w:pStyle w:val="30"/>
        <w:spacing w:before="166" w:beforeLines="50" w:after="33"/>
        <w:rPr>
          <w:color w:val="auto"/>
        </w:rPr>
      </w:pPr>
    </w:p>
    <w:p>
      <w:pPr>
        <w:pStyle w:val="30"/>
        <w:spacing w:before="166" w:beforeLines="50" w:after="33"/>
        <w:jc w:val="left"/>
        <w:rPr>
          <w:color w:val="auto"/>
        </w:rPr>
        <w:sectPr>
          <w:pgSz w:w="11906" w:h="16838"/>
          <w:pgMar w:top="1418" w:right="1701" w:bottom="1418" w:left="1701" w:header="851" w:footer="992" w:gutter="0"/>
          <w:pgNumType w:fmt="numberInDash"/>
          <w:cols w:space="0" w:num="1"/>
          <w:docGrid w:type="lines" w:linePitch="332" w:charSpace="0"/>
        </w:sectPr>
      </w:pPr>
    </w:p>
    <w:p>
      <w:pPr>
        <w:pStyle w:val="5"/>
        <w:rPr>
          <w:color w:val="auto"/>
        </w:rPr>
      </w:pPr>
      <w:r>
        <w:rPr>
          <w:rFonts w:hint="eastAsia"/>
          <w:color w:val="auto"/>
        </w:rPr>
        <w:t>附件9环境管理规章制度</w:t>
      </w:r>
    </w:p>
    <w:p>
      <w:pPr>
        <w:pStyle w:val="2"/>
        <w:ind w:left="0" w:leftChars="0" w:firstLine="0" w:firstLineChars="0"/>
        <w:rPr>
          <w:rFonts w:hint="eastAsia"/>
          <w:color w:val="auto"/>
        </w:rPr>
      </w:pPr>
      <w:r>
        <w:rPr>
          <w:rFonts w:hint="eastAsia"/>
          <w:color w:val="auto"/>
        </w:rPr>
        <w:drawing>
          <wp:inline distT="0" distB="0" distL="114300" distR="114300">
            <wp:extent cx="5399405" cy="7635240"/>
            <wp:effectExtent l="0" t="0" r="10795" b="3810"/>
            <wp:docPr id="13" name="图片 13" descr="桐乡市鸿尔纺织有限公司环保管理制度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桐乡市鸿尔纺织有限公司环保管理制度_页面_1"/>
                    <pic:cNvPicPr>
                      <a:picLocks noChangeAspect="1"/>
                    </pic:cNvPicPr>
                  </pic:nvPicPr>
                  <pic:blipFill>
                    <a:blip r:embed="rId60"/>
                    <a:stretch>
                      <a:fillRect/>
                    </a:stretch>
                  </pic:blipFill>
                  <pic:spPr>
                    <a:xfrm>
                      <a:off x="0" y="0"/>
                      <a:ext cx="5399405" cy="7635240"/>
                    </a:xfrm>
                    <a:prstGeom prst="rect">
                      <a:avLst/>
                    </a:prstGeom>
                  </pic:spPr>
                </pic:pic>
              </a:graphicData>
            </a:graphic>
          </wp:inline>
        </w:drawing>
      </w:r>
      <w:r>
        <w:rPr>
          <w:rFonts w:hint="eastAsia"/>
          <w:color w:val="auto"/>
        </w:rPr>
        <w:drawing>
          <wp:inline distT="0" distB="0" distL="114300" distR="114300">
            <wp:extent cx="5399405" cy="7635240"/>
            <wp:effectExtent l="0" t="0" r="10795" b="3810"/>
            <wp:docPr id="12" name="图片 12" descr="桐乡市鸿尔纺织有限公司环保管理制度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桐乡市鸿尔纺织有限公司环保管理制度_页面_2"/>
                    <pic:cNvPicPr>
                      <a:picLocks noChangeAspect="1"/>
                    </pic:cNvPicPr>
                  </pic:nvPicPr>
                  <pic:blipFill>
                    <a:blip r:embed="rId61"/>
                    <a:stretch>
                      <a:fillRect/>
                    </a:stretch>
                  </pic:blipFill>
                  <pic:spPr>
                    <a:xfrm>
                      <a:off x="0" y="0"/>
                      <a:ext cx="5399405" cy="7635240"/>
                    </a:xfrm>
                    <a:prstGeom prst="rect">
                      <a:avLst/>
                    </a:prstGeom>
                  </pic:spPr>
                </pic:pic>
              </a:graphicData>
            </a:graphic>
          </wp:inline>
        </w:drawing>
      </w:r>
      <w:r>
        <w:rPr>
          <w:rFonts w:hint="eastAsia"/>
          <w:color w:val="auto"/>
        </w:rPr>
        <w:drawing>
          <wp:inline distT="0" distB="0" distL="114300" distR="114300">
            <wp:extent cx="5399405" cy="7635240"/>
            <wp:effectExtent l="0" t="0" r="10795" b="3810"/>
            <wp:docPr id="11" name="图片 11" descr="桐乡市鸿尔纺织有限公司环保管理制度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桐乡市鸿尔纺织有限公司环保管理制度_页面_3"/>
                    <pic:cNvPicPr>
                      <a:picLocks noChangeAspect="1"/>
                    </pic:cNvPicPr>
                  </pic:nvPicPr>
                  <pic:blipFill>
                    <a:blip r:embed="rId62"/>
                    <a:stretch>
                      <a:fillRect/>
                    </a:stretch>
                  </pic:blipFill>
                  <pic:spPr>
                    <a:xfrm>
                      <a:off x="0" y="0"/>
                      <a:ext cx="5399405" cy="7635240"/>
                    </a:xfrm>
                    <a:prstGeom prst="rect">
                      <a:avLst/>
                    </a:prstGeom>
                  </pic:spPr>
                </pic:pic>
              </a:graphicData>
            </a:graphic>
          </wp:inline>
        </w:drawing>
      </w:r>
      <w:r>
        <w:rPr>
          <w:rFonts w:hint="eastAsia"/>
          <w:color w:val="auto"/>
        </w:rPr>
        <w:drawing>
          <wp:inline distT="0" distB="0" distL="114300" distR="114300">
            <wp:extent cx="5399405" cy="7635240"/>
            <wp:effectExtent l="0" t="0" r="10795" b="3810"/>
            <wp:docPr id="10" name="图片 10" descr="桐乡市鸿尔纺织有限公司环保管理制度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桐乡市鸿尔纺织有限公司环保管理制度_页面_4"/>
                    <pic:cNvPicPr>
                      <a:picLocks noChangeAspect="1"/>
                    </pic:cNvPicPr>
                  </pic:nvPicPr>
                  <pic:blipFill>
                    <a:blip r:embed="rId63"/>
                    <a:stretch>
                      <a:fillRect/>
                    </a:stretch>
                  </pic:blipFill>
                  <pic:spPr>
                    <a:xfrm>
                      <a:off x="0" y="0"/>
                      <a:ext cx="5399405" cy="7635240"/>
                    </a:xfrm>
                    <a:prstGeom prst="rect">
                      <a:avLst/>
                    </a:prstGeom>
                  </pic:spPr>
                </pic:pic>
              </a:graphicData>
            </a:graphic>
          </wp:inline>
        </w:drawing>
      </w:r>
    </w:p>
    <w:p>
      <w:pPr>
        <w:pStyle w:val="2"/>
        <w:ind w:left="0" w:leftChars="0" w:firstLine="0" w:firstLineChars="0"/>
        <w:rPr>
          <w:rFonts w:hint="eastAsia"/>
          <w:color w:val="auto"/>
        </w:rPr>
      </w:pPr>
    </w:p>
    <w:p>
      <w:pPr>
        <w:pStyle w:val="2"/>
        <w:ind w:left="0" w:leftChars="0" w:firstLine="0" w:firstLineChars="0"/>
        <w:rPr>
          <w:rFonts w:hint="eastAsia"/>
          <w:color w:val="auto"/>
        </w:rPr>
      </w:pPr>
    </w:p>
    <w:p>
      <w:pPr>
        <w:pStyle w:val="2"/>
        <w:spacing w:after="0"/>
        <w:ind w:left="0" w:leftChars="0" w:firstLine="0" w:firstLineChars="0"/>
        <w:rPr>
          <w:rFonts w:eastAsia="宋体"/>
          <w:b/>
          <w:bCs/>
          <w:color w:val="auto"/>
          <w:kern w:val="44"/>
          <w:sz w:val="30"/>
          <w:szCs w:val="44"/>
        </w:rPr>
      </w:pPr>
      <w:r>
        <w:rPr>
          <w:rFonts w:hint="eastAsia" w:eastAsia="宋体"/>
          <w:b/>
          <w:bCs/>
          <w:color w:val="auto"/>
          <w:kern w:val="44"/>
          <w:sz w:val="30"/>
          <w:szCs w:val="44"/>
        </w:rPr>
        <w:t>验收意见</w:t>
      </w:r>
    </w:p>
    <w:p>
      <w:pPr>
        <w:pStyle w:val="2"/>
        <w:ind w:left="0" w:leftChars="0" w:firstLine="0" w:firstLineChars="0"/>
        <w:rPr>
          <w:rFonts w:hint="eastAsia" w:eastAsiaTheme="minorEastAsia"/>
          <w:color w:val="auto"/>
          <w:lang w:eastAsia="zh-CN"/>
        </w:rPr>
      </w:pPr>
      <w:r>
        <w:rPr>
          <w:rFonts w:hint="eastAsia" w:eastAsiaTheme="minorEastAsia"/>
          <w:color w:val="auto"/>
          <w:lang w:eastAsia="zh-CN"/>
        </w:rPr>
        <w:drawing>
          <wp:inline distT="0" distB="0" distL="114300" distR="114300">
            <wp:extent cx="5399405" cy="7635240"/>
            <wp:effectExtent l="0" t="0" r="10795" b="3810"/>
            <wp:docPr id="41" name="图片 41" descr="4.29桐乡市鸿尔纺织有限公司三同时竣工验收意见的副本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29桐乡市鸿尔纺织有限公司三同时竣工验收意见的副本_页面_1"/>
                    <pic:cNvPicPr>
                      <a:picLocks noChangeAspect="1"/>
                    </pic:cNvPicPr>
                  </pic:nvPicPr>
                  <pic:blipFill>
                    <a:blip r:embed="rId64"/>
                    <a:stretch>
                      <a:fillRect/>
                    </a:stretch>
                  </pic:blipFill>
                  <pic:spPr>
                    <a:xfrm>
                      <a:off x="0" y="0"/>
                      <a:ext cx="5399405" cy="7635240"/>
                    </a:xfrm>
                    <a:prstGeom prst="rect">
                      <a:avLst/>
                    </a:prstGeom>
                  </pic:spPr>
                </pic:pic>
              </a:graphicData>
            </a:graphic>
          </wp:inline>
        </w:drawing>
      </w:r>
      <w:r>
        <w:rPr>
          <w:rFonts w:hint="eastAsia" w:eastAsiaTheme="minorEastAsia"/>
          <w:color w:val="auto"/>
          <w:lang w:eastAsia="zh-CN"/>
        </w:rPr>
        <w:drawing>
          <wp:inline distT="0" distB="0" distL="114300" distR="114300">
            <wp:extent cx="5399405" cy="7635240"/>
            <wp:effectExtent l="0" t="0" r="10795" b="3810"/>
            <wp:docPr id="40" name="图片 40" descr="4.29桐乡市鸿尔纺织有限公司三同时竣工验收意见的副本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29桐乡市鸿尔纺织有限公司三同时竣工验收意见的副本_页面_2"/>
                    <pic:cNvPicPr>
                      <a:picLocks noChangeAspect="1"/>
                    </pic:cNvPicPr>
                  </pic:nvPicPr>
                  <pic:blipFill>
                    <a:blip r:embed="rId65"/>
                    <a:stretch>
                      <a:fillRect/>
                    </a:stretch>
                  </pic:blipFill>
                  <pic:spPr>
                    <a:xfrm>
                      <a:off x="0" y="0"/>
                      <a:ext cx="5399405" cy="7635240"/>
                    </a:xfrm>
                    <a:prstGeom prst="rect">
                      <a:avLst/>
                    </a:prstGeom>
                  </pic:spPr>
                </pic:pic>
              </a:graphicData>
            </a:graphic>
          </wp:inline>
        </w:drawing>
      </w:r>
      <w:r>
        <w:rPr>
          <w:rFonts w:hint="eastAsia" w:eastAsiaTheme="minorEastAsia"/>
          <w:color w:val="auto"/>
          <w:lang w:eastAsia="zh-CN"/>
        </w:rPr>
        <w:drawing>
          <wp:inline distT="0" distB="0" distL="114300" distR="114300">
            <wp:extent cx="5399405" cy="7635240"/>
            <wp:effectExtent l="0" t="0" r="10795" b="3810"/>
            <wp:docPr id="30" name="图片 30" descr="4.29桐乡市鸿尔纺织有限公司三同时竣工验收意见的副本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29桐乡市鸿尔纺织有限公司三同时竣工验收意见的副本_页面_3"/>
                    <pic:cNvPicPr>
                      <a:picLocks noChangeAspect="1"/>
                    </pic:cNvPicPr>
                  </pic:nvPicPr>
                  <pic:blipFill>
                    <a:blip r:embed="rId66"/>
                    <a:stretch>
                      <a:fillRect/>
                    </a:stretch>
                  </pic:blipFill>
                  <pic:spPr>
                    <a:xfrm>
                      <a:off x="0" y="0"/>
                      <a:ext cx="5399405" cy="7635240"/>
                    </a:xfrm>
                    <a:prstGeom prst="rect">
                      <a:avLst/>
                    </a:prstGeom>
                  </pic:spPr>
                </pic:pic>
              </a:graphicData>
            </a:graphic>
          </wp:inline>
        </w:drawing>
      </w:r>
      <w:r>
        <w:rPr>
          <w:rFonts w:hint="eastAsia" w:eastAsiaTheme="minorEastAsia"/>
          <w:color w:val="auto"/>
          <w:lang w:eastAsia="zh-CN"/>
        </w:rPr>
        <w:drawing>
          <wp:inline distT="0" distB="0" distL="114300" distR="114300">
            <wp:extent cx="5399405" cy="7635240"/>
            <wp:effectExtent l="0" t="0" r="10795" b="3810"/>
            <wp:docPr id="15" name="图片 15" descr="4.29桐乡市鸿尔纺织有限公司三同时竣工验收意见的副本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9桐乡市鸿尔纺织有限公司三同时竣工验收意见的副本_页面_4"/>
                    <pic:cNvPicPr>
                      <a:picLocks noChangeAspect="1"/>
                    </pic:cNvPicPr>
                  </pic:nvPicPr>
                  <pic:blipFill>
                    <a:blip r:embed="rId67"/>
                    <a:stretch>
                      <a:fillRect/>
                    </a:stretch>
                  </pic:blipFill>
                  <pic:spPr>
                    <a:xfrm>
                      <a:off x="0" y="0"/>
                      <a:ext cx="5399405" cy="7635240"/>
                    </a:xfrm>
                    <a:prstGeom prst="rect">
                      <a:avLst/>
                    </a:prstGeom>
                  </pic:spPr>
                </pic:pic>
              </a:graphicData>
            </a:graphic>
          </wp:inline>
        </w:drawing>
      </w:r>
      <w:r>
        <w:rPr>
          <w:rFonts w:hint="eastAsia" w:eastAsiaTheme="minorEastAsia"/>
          <w:color w:val="auto"/>
          <w:lang w:eastAsia="zh-CN"/>
        </w:rPr>
        <w:drawing>
          <wp:inline distT="0" distB="0" distL="114300" distR="114300">
            <wp:extent cx="5395595" cy="6980555"/>
            <wp:effectExtent l="0" t="0" r="14605" b="10795"/>
            <wp:docPr id="42" name="图片 42" descr="桐乡市鸿尔纺织有限公司年产 600 吨高档粗纺羊绒纱项目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桐乡市鸿尔纺织有限公司年产 600 吨高档粗纺羊绒纱项目_页面_5"/>
                    <pic:cNvPicPr>
                      <a:picLocks noChangeAspect="1"/>
                    </pic:cNvPicPr>
                  </pic:nvPicPr>
                  <pic:blipFill>
                    <a:blip r:embed="rId68"/>
                    <a:stretch>
                      <a:fillRect/>
                    </a:stretch>
                  </pic:blipFill>
                  <pic:spPr>
                    <a:xfrm>
                      <a:off x="0" y="0"/>
                      <a:ext cx="5395595" cy="6980555"/>
                    </a:xfrm>
                    <a:prstGeom prst="rect">
                      <a:avLst/>
                    </a:prstGeom>
                  </pic:spPr>
                </pic:pic>
              </a:graphicData>
            </a:graphic>
          </wp:inline>
        </w:drawing>
      </w:r>
      <w:r>
        <w:rPr>
          <w:rFonts w:hint="eastAsia" w:eastAsiaTheme="minorEastAsia"/>
          <w:color w:val="auto"/>
          <w:lang w:eastAsia="zh-CN"/>
        </w:rPr>
        <w:drawing>
          <wp:inline distT="0" distB="0" distL="114300" distR="114300">
            <wp:extent cx="5396865" cy="7627620"/>
            <wp:effectExtent l="0" t="0" r="13335" b="11430"/>
            <wp:docPr id="44" name="图片 44" descr="鸿尔纺织验收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鸿尔纺织验收签到表"/>
                    <pic:cNvPicPr>
                      <a:picLocks noChangeAspect="1"/>
                    </pic:cNvPicPr>
                  </pic:nvPicPr>
                  <pic:blipFill>
                    <a:blip r:embed="rId69"/>
                    <a:stretch>
                      <a:fillRect/>
                    </a:stretch>
                  </pic:blipFill>
                  <pic:spPr>
                    <a:xfrm>
                      <a:off x="0" y="0"/>
                      <a:ext cx="5396865" cy="7627620"/>
                    </a:xfrm>
                    <a:prstGeom prst="rect">
                      <a:avLst/>
                    </a:prstGeom>
                  </pic:spPr>
                </pic:pic>
              </a:graphicData>
            </a:graphic>
          </wp:inline>
        </w:drawing>
      </w:r>
    </w:p>
    <w:p>
      <w:pPr>
        <w:pStyle w:val="2"/>
        <w:ind w:left="0" w:leftChars="0" w:firstLine="0" w:firstLineChars="0"/>
        <w:rPr>
          <w:rFonts w:hint="eastAsia" w:eastAsiaTheme="minorEastAsia"/>
          <w:color w:val="auto"/>
          <w:lang w:eastAsia="zh-CN"/>
        </w:rPr>
      </w:pPr>
    </w:p>
    <w:p>
      <w:pPr>
        <w:pStyle w:val="2"/>
        <w:ind w:left="0" w:leftChars="0" w:firstLine="0" w:firstLineChars="0"/>
        <w:rPr>
          <w:rFonts w:hint="eastAsia" w:eastAsiaTheme="minorEastAsia"/>
          <w:color w:val="auto"/>
          <w:lang w:eastAsia="zh-CN"/>
        </w:rPr>
      </w:pPr>
    </w:p>
    <w:p>
      <w:pPr>
        <w:pStyle w:val="2"/>
        <w:spacing w:after="0"/>
        <w:ind w:left="0" w:leftChars="0" w:firstLine="0" w:firstLineChars="0"/>
        <w:rPr>
          <w:rFonts w:hint="eastAsia" w:eastAsia="宋体"/>
          <w:b/>
          <w:bCs/>
          <w:color w:val="auto"/>
          <w:kern w:val="44"/>
          <w:sz w:val="30"/>
          <w:szCs w:val="44"/>
        </w:rPr>
      </w:pPr>
      <w:r>
        <w:rPr>
          <w:rFonts w:hint="eastAsia" w:eastAsia="宋体"/>
          <w:b/>
          <w:bCs/>
          <w:color w:val="auto"/>
          <w:kern w:val="44"/>
          <w:sz w:val="30"/>
          <w:szCs w:val="44"/>
        </w:rPr>
        <w:t>其他情况说明</w:t>
      </w:r>
    </w:p>
    <w:p>
      <w:pPr>
        <w:pStyle w:val="2"/>
        <w:spacing w:after="0"/>
        <w:ind w:left="0" w:leftChars="0" w:firstLine="0" w:firstLineChars="0"/>
        <w:rPr>
          <w:rFonts w:hint="eastAsia" w:eastAsia="宋体"/>
          <w:b/>
          <w:bCs/>
          <w:color w:val="auto"/>
          <w:kern w:val="44"/>
          <w:sz w:val="30"/>
          <w:szCs w:val="44"/>
          <w:lang w:eastAsia="zh-CN"/>
        </w:rPr>
      </w:pPr>
      <w:r>
        <w:rPr>
          <w:rFonts w:hint="eastAsia" w:eastAsia="宋体"/>
          <w:b/>
          <w:bCs/>
          <w:color w:val="auto"/>
          <w:kern w:val="44"/>
          <w:sz w:val="30"/>
          <w:szCs w:val="44"/>
          <w:lang w:eastAsia="zh-CN"/>
        </w:rPr>
        <w:drawing>
          <wp:inline distT="0" distB="0" distL="114300" distR="114300">
            <wp:extent cx="5399405" cy="7635240"/>
            <wp:effectExtent l="0" t="0" r="10795" b="3810"/>
            <wp:docPr id="7" name="图片 7" descr="鸿尔验收-红头公告文件需盖章张贴后拍照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鸿尔验收-红头公告文件需盖章张贴后拍照_页面_7"/>
                    <pic:cNvPicPr>
                      <a:picLocks noChangeAspect="1"/>
                    </pic:cNvPicPr>
                  </pic:nvPicPr>
                  <pic:blipFill>
                    <a:blip r:embed="rId70"/>
                    <a:stretch>
                      <a:fillRect/>
                    </a:stretch>
                  </pic:blipFill>
                  <pic:spPr>
                    <a:xfrm>
                      <a:off x="0" y="0"/>
                      <a:ext cx="5399405" cy="7635240"/>
                    </a:xfrm>
                    <a:prstGeom prst="rect">
                      <a:avLst/>
                    </a:prstGeom>
                  </pic:spPr>
                </pic:pic>
              </a:graphicData>
            </a:graphic>
          </wp:inline>
        </w:drawing>
      </w:r>
      <w:r>
        <w:rPr>
          <w:rFonts w:hint="eastAsia" w:eastAsia="宋体"/>
          <w:b/>
          <w:bCs/>
          <w:color w:val="auto"/>
          <w:kern w:val="44"/>
          <w:sz w:val="30"/>
          <w:szCs w:val="44"/>
          <w:lang w:eastAsia="zh-CN"/>
        </w:rPr>
        <w:drawing>
          <wp:inline distT="0" distB="0" distL="114300" distR="114300">
            <wp:extent cx="5399405" cy="7635240"/>
            <wp:effectExtent l="0" t="0" r="10795" b="3810"/>
            <wp:docPr id="43" name="图片 43" descr="文字文稿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文字文稿1_页面_2"/>
                    <pic:cNvPicPr>
                      <a:picLocks noChangeAspect="1"/>
                    </pic:cNvPicPr>
                  </pic:nvPicPr>
                  <pic:blipFill>
                    <a:blip r:embed="rId71"/>
                    <a:stretch>
                      <a:fillRect/>
                    </a:stretch>
                  </pic:blipFill>
                  <pic:spPr>
                    <a:xfrm>
                      <a:off x="0" y="0"/>
                      <a:ext cx="5399405" cy="7635240"/>
                    </a:xfrm>
                    <a:prstGeom prst="rect">
                      <a:avLst/>
                    </a:prstGeom>
                  </pic:spPr>
                </pic:pic>
              </a:graphicData>
            </a:graphic>
          </wp:inline>
        </w:drawing>
      </w:r>
    </w:p>
    <w:p>
      <w:pPr>
        <w:pStyle w:val="2"/>
        <w:ind w:left="0" w:leftChars="0" w:firstLine="0" w:firstLineChars="0"/>
        <w:rPr>
          <w:rFonts w:hint="eastAsia" w:eastAsiaTheme="minorEastAsia"/>
          <w:color w:val="auto"/>
          <w:lang w:eastAsia="zh-CN"/>
        </w:rPr>
      </w:pPr>
    </w:p>
    <w:sectPr>
      <w:pgSz w:w="11906" w:h="16838"/>
      <w:pgMar w:top="1418" w:right="1701" w:bottom="1418" w:left="1701" w:header="851" w:footer="992" w:gutter="0"/>
      <w:pgNumType w:fmt="numberInDash"/>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0877402"/>
    </w:sdtPr>
    <w:sdtContent>
      <w:p>
        <w:pPr>
          <w:pStyle w:val="13"/>
          <w:ind w:firstLine="0" w:firstLineChars="0"/>
          <w:jc w:val="center"/>
        </w:pPr>
        <w:r>
          <w:fldChar w:fldCharType="begin"/>
        </w:r>
        <w:r>
          <w:instrText xml:space="preserve">PAGE   \* MERGEFORMAT</w:instrText>
        </w:r>
        <w:r>
          <w:fldChar w:fldCharType="separate"/>
        </w:r>
        <w:r>
          <w:rPr>
            <w:lang w:val="zh-CN"/>
          </w:rPr>
          <w:t>-</w:t>
        </w:r>
        <w:r>
          <w:t xml:space="preserve"> 1 -</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8154088"/>
    </w:sdtPr>
    <w:sdtContent>
      <w:p>
        <w:pPr>
          <w:pStyle w:val="13"/>
          <w:ind w:firstLine="0" w:firstLineChars="0"/>
          <w:jc w:val="center"/>
        </w:pPr>
        <w:r>
          <w:fldChar w:fldCharType="begin"/>
        </w:r>
        <w:r>
          <w:instrText xml:space="preserve">PAGE   \* MERGEFORMAT</w:instrText>
        </w:r>
        <w:r>
          <w:fldChar w:fldCharType="separate"/>
        </w:r>
        <w:r>
          <w:rPr>
            <w:lang w:val="zh-CN"/>
          </w:rPr>
          <w:t>-</w:t>
        </w:r>
        <w:r>
          <w:t xml:space="preserve"> 10 -</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9194240"/>
    </w:sdtPr>
    <w:sdtContent>
      <w:p>
        <w:pPr>
          <w:pStyle w:val="13"/>
          <w:ind w:firstLine="0" w:firstLineChars="0"/>
          <w:jc w:val="center"/>
        </w:pPr>
        <w:r>
          <w:fldChar w:fldCharType="begin"/>
        </w:r>
        <w:r>
          <w:instrText xml:space="preserve">PAGE   \* MERGEFORMAT</w:instrText>
        </w:r>
        <w:r>
          <w:fldChar w:fldCharType="separate"/>
        </w:r>
        <w:r>
          <w:rPr>
            <w:lang w:val="zh-CN"/>
          </w:rPr>
          <w:t>-</w:t>
        </w:r>
        <w:r>
          <w:t xml:space="preserve"> 33 -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2267820"/>
    </w:sdtPr>
    <w:sdtContent>
      <w:p>
        <w:pPr>
          <w:pStyle w:val="13"/>
          <w:ind w:firstLine="0" w:firstLineChars="0"/>
          <w:jc w:val="center"/>
        </w:pPr>
        <w:r>
          <w:fldChar w:fldCharType="begin"/>
        </w:r>
        <w:r>
          <w:instrText xml:space="preserve">PAGE   \* MERGEFORMAT</w:instrText>
        </w:r>
        <w:r>
          <w:fldChar w:fldCharType="separate"/>
        </w:r>
        <w:r>
          <w:rPr>
            <w:lang w:val="zh-CN"/>
          </w:rPr>
          <w:t>-</w:t>
        </w:r>
        <w:r>
          <w:t xml:space="preserve"> 14 -</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4854239"/>
    </w:sdtPr>
    <w:sdtContent>
      <w:p>
        <w:pPr>
          <w:pStyle w:val="13"/>
          <w:ind w:firstLine="0" w:firstLineChars="0"/>
          <w:jc w:val="center"/>
        </w:pPr>
        <w:r>
          <w:fldChar w:fldCharType="begin"/>
        </w:r>
        <w:r>
          <w:instrText xml:space="preserve">PAGE   \* MERGEFORMAT</w:instrText>
        </w:r>
        <w:r>
          <w:fldChar w:fldCharType="separate"/>
        </w:r>
        <w:r>
          <w:rPr>
            <w:lang w:val="zh-CN"/>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center"/>
      <w:rPr>
        <w:rFonts w:cs="Times New Roman"/>
      </w:rPr>
    </w:pPr>
    <w:r>
      <w:rPr>
        <w:rFonts w:hint="eastAsia" w:cs="Times New Roman"/>
        <w:sz w:val="18"/>
        <w:szCs w:val="18"/>
      </w:rPr>
      <w:t>桐乡市鸿尔纺织有限公司年产600吨高档粗纺羊绒纱项目竣工环境保护验收监测报告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center"/>
      <w:rPr>
        <w:rFonts w:cs="Times New Roman"/>
      </w:rPr>
    </w:pPr>
    <w:r>
      <w:rPr>
        <w:rFonts w:hint="eastAsia" w:cs="Times New Roman"/>
        <w:sz w:val="18"/>
        <w:szCs w:val="18"/>
      </w:rPr>
      <w:t>桐乡市鸿尔纺织有限公司年产600吨高档粗纺羊绒纱项目竣工环境保护验收监测报告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center"/>
      <w:rPr>
        <w:rFonts w:cs="Times New Roman"/>
      </w:rPr>
    </w:pPr>
    <w:r>
      <w:rPr>
        <w:rFonts w:hint="eastAsia" w:cs="Times New Roman"/>
        <w:sz w:val="18"/>
        <w:szCs w:val="18"/>
      </w:rPr>
      <w:t>桐乡市鸿尔纺织有限公司年产600吨高档粗纺羊绒纱项目竣工环境保护验收监测报告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center"/>
      <w:rPr>
        <w:rFonts w:cs="Times New Roman"/>
      </w:rPr>
    </w:pPr>
    <w:r>
      <w:rPr>
        <w:rFonts w:hint="eastAsia" w:cs="Times New Roman"/>
        <w:sz w:val="18"/>
        <w:szCs w:val="18"/>
      </w:rPr>
      <w:t>桐乡市鸿尔纺织有限公司年产600吨高档粗纺羊绒纱项目</w:t>
    </w:r>
    <w:r>
      <w:rPr>
        <w:rFonts w:cs="Times New Roman"/>
        <w:sz w:val="18"/>
        <w:szCs w:val="18"/>
      </w:rPr>
      <w:t>竣工环境保护验收监测报告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spacing w:line="240" w:lineRule="auto"/>
      <w:ind w:firstLine="0" w:firstLineChars="0"/>
      <w:jc w:val="center"/>
    </w:pPr>
    <w:r>
      <w:rPr>
        <w:rFonts w:hint="eastAsia"/>
        <w:sz w:val="18"/>
        <w:szCs w:val="18"/>
      </w:rPr>
      <w:t>桐乡市鸿尔纺织有限公司年产600吨高档粗纺羊绒纱项目竣工环境保护验收监测报告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spacing w:line="240" w:lineRule="auto"/>
      <w:ind w:firstLine="0" w:firstLineChars="0"/>
      <w:jc w:val="center"/>
    </w:pPr>
    <w:r>
      <w:rPr>
        <w:rFonts w:hint="eastAsia"/>
        <w:sz w:val="18"/>
        <w:szCs w:val="18"/>
      </w:rPr>
      <w:t>桐乡市鸿尔纺织有限公司年产600吨高档粗纺羊绒纱项目竣工环境保护验收监测报告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471468"/>
    <w:multiLevelType w:val="singleLevel"/>
    <w:tmpl w:val="7647146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0"/>
  <w:drawingGridVerticalSpacing w:val="166"/>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0NmM0NzdiODg5YjBlMTI1NDU4ZTYyYjJiYzBjZGEifQ=="/>
  </w:docVars>
  <w:rsids>
    <w:rsidRoot w:val="00F42F5F"/>
    <w:rsid w:val="00005CF9"/>
    <w:rsid w:val="00010B1B"/>
    <w:rsid w:val="000167CD"/>
    <w:rsid w:val="00021D42"/>
    <w:rsid w:val="00022108"/>
    <w:rsid w:val="00024F7C"/>
    <w:rsid w:val="00031144"/>
    <w:rsid w:val="000317E9"/>
    <w:rsid w:val="00032216"/>
    <w:rsid w:val="00044F9E"/>
    <w:rsid w:val="000453B7"/>
    <w:rsid w:val="00046C66"/>
    <w:rsid w:val="00055CB3"/>
    <w:rsid w:val="00055D0D"/>
    <w:rsid w:val="00057B62"/>
    <w:rsid w:val="0006034F"/>
    <w:rsid w:val="0006056C"/>
    <w:rsid w:val="00060585"/>
    <w:rsid w:val="00061B51"/>
    <w:rsid w:val="00066119"/>
    <w:rsid w:val="00067ACD"/>
    <w:rsid w:val="000706CE"/>
    <w:rsid w:val="000745B4"/>
    <w:rsid w:val="0007621B"/>
    <w:rsid w:val="00076DC8"/>
    <w:rsid w:val="0007798D"/>
    <w:rsid w:val="000801DF"/>
    <w:rsid w:val="00080BD0"/>
    <w:rsid w:val="00081FA6"/>
    <w:rsid w:val="00082A7B"/>
    <w:rsid w:val="000865BE"/>
    <w:rsid w:val="00094F5A"/>
    <w:rsid w:val="000A4115"/>
    <w:rsid w:val="000A62DC"/>
    <w:rsid w:val="000C3C53"/>
    <w:rsid w:val="000C6D82"/>
    <w:rsid w:val="000C7BAC"/>
    <w:rsid w:val="000D4B6C"/>
    <w:rsid w:val="000D6C29"/>
    <w:rsid w:val="000E0B40"/>
    <w:rsid w:val="000E7C9E"/>
    <w:rsid w:val="000F7744"/>
    <w:rsid w:val="0010525A"/>
    <w:rsid w:val="00112439"/>
    <w:rsid w:val="001130B9"/>
    <w:rsid w:val="00124F13"/>
    <w:rsid w:val="001265AC"/>
    <w:rsid w:val="001272E7"/>
    <w:rsid w:val="001318D9"/>
    <w:rsid w:val="0013231E"/>
    <w:rsid w:val="00134407"/>
    <w:rsid w:val="00136A9E"/>
    <w:rsid w:val="0013779A"/>
    <w:rsid w:val="00137C88"/>
    <w:rsid w:val="00140592"/>
    <w:rsid w:val="001408A6"/>
    <w:rsid w:val="0014278A"/>
    <w:rsid w:val="00143A01"/>
    <w:rsid w:val="00154DD1"/>
    <w:rsid w:val="00155B99"/>
    <w:rsid w:val="00155DD7"/>
    <w:rsid w:val="0015694F"/>
    <w:rsid w:val="00166B39"/>
    <w:rsid w:val="00167244"/>
    <w:rsid w:val="00171C1F"/>
    <w:rsid w:val="00175986"/>
    <w:rsid w:val="0017711E"/>
    <w:rsid w:val="00182767"/>
    <w:rsid w:val="001837E9"/>
    <w:rsid w:val="00195975"/>
    <w:rsid w:val="001A2515"/>
    <w:rsid w:val="001A66AB"/>
    <w:rsid w:val="001A7E5C"/>
    <w:rsid w:val="001C11AD"/>
    <w:rsid w:val="001C1C71"/>
    <w:rsid w:val="001C43E1"/>
    <w:rsid w:val="001C7FD3"/>
    <w:rsid w:val="001D02C5"/>
    <w:rsid w:val="001D2612"/>
    <w:rsid w:val="001E04B4"/>
    <w:rsid w:val="001E3D8A"/>
    <w:rsid w:val="001E4006"/>
    <w:rsid w:val="001E465F"/>
    <w:rsid w:val="001E7363"/>
    <w:rsid w:val="001F2053"/>
    <w:rsid w:val="001F317E"/>
    <w:rsid w:val="001F46FE"/>
    <w:rsid w:val="001F4C9F"/>
    <w:rsid w:val="001F7532"/>
    <w:rsid w:val="002068A5"/>
    <w:rsid w:val="002077B6"/>
    <w:rsid w:val="00216C46"/>
    <w:rsid w:val="00217E25"/>
    <w:rsid w:val="00220AFD"/>
    <w:rsid w:val="0022164B"/>
    <w:rsid w:val="00221ECE"/>
    <w:rsid w:val="00222CB7"/>
    <w:rsid w:val="00224767"/>
    <w:rsid w:val="00237FB4"/>
    <w:rsid w:val="0024129C"/>
    <w:rsid w:val="0024595D"/>
    <w:rsid w:val="002467E7"/>
    <w:rsid w:val="00252E25"/>
    <w:rsid w:val="002632E4"/>
    <w:rsid w:val="00267C50"/>
    <w:rsid w:val="002706D1"/>
    <w:rsid w:val="00273CE1"/>
    <w:rsid w:val="00276193"/>
    <w:rsid w:val="00276907"/>
    <w:rsid w:val="00276B97"/>
    <w:rsid w:val="00276E8F"/>
    <w:rsid w:val="00283E96"/>
    <w:rsid w:val="002945FC"/>
    <w:rsid w:val="00294725"/>
    <w:rsid w:val="002974B5"/>
    <w:rsid w:val="002A3948"/>
    <w:rsid w:val="002B2832"/>
    <w:rsid w:val="002C1ED5"/>
    <w:rsid w:val="002C29B2"/>
    <w:rsid w:val="002C3A7A"/>
    <w:rsid w:val="002D0F2B"/>
    <w:rsid w:val="002D39A1"/>
    <w:rsid w:val="002D630B"/>
    <w:rsid w:val="002F4237"/>
    <w:rsid w:val="00303225"/>
    <w:rsid w:val="0030465F"/>
    <w:rsid w:val="003074ED"/>
    <w:rsid w:val="0031312A"/>
    <w:rsid w:val="00322BC3"/>
    <w:rsid w:val="00324B1C"/>
    <w:rsid w:val="0033201C"/>
    <w:rsid w:val="00333223"/>
    <w:rsid w:val="00335CBD"/>
    <w:rsid w:val="00350841"/>
    <w:rsid w:val="00350EDD"/>
    <w:rsid w:val="00356EB8"/>
    <w:rsid w:val="00362081"/>
    <w:rsid w:val="0036583C"/>
    <w:rsid w:val="00367CC7"/>
    <w:rsid w:val="00371CB1"/>
    <w:rsid w:val="00376660"/>
    <w:rsid w:val="0038294E"/>
    <w:rsid w:val="00383BB0"/>
    <w:rsid w:val="00386AF2"/>
    <w:rsid w:val="00391CFC"/>
    <w:rsid w:val="00393978"/>
    <w:rsid w:val="00397342"/>
    <w:rsid w:val="003977D8"/>
    <w:rsid w:val="00397EDF"/>
    <w:rsid w:val="003A5874"/>
    <w:rsid w:val="003A6BF4"/>
    <w:rsid w:val="003A7B64"/>
    <w:rsid w:val="003B1DB2"/>
    <w:rsid w:val="003B35E3"/>
    <w:rsid w:val="003B77D4"/>
    <w:rsid w:val="003C09B6"/>
    <w:rsid w:val="003C1161"/>
    <w:rsid w:val="003C3B8E"/>
    <w:rsid w:val="003C7F57"/>
    <w:rsid w:val="003D2277"/>
    <w:rsid w:val="003D3333"/>
    <w:rsid w:val="003D4C39"/>
    <w:rsid w:val="003D5564"/>
    <w:rsid w:val="003D7111"/>
    <w:rsid w:val="003E1743"/>
    <w:rsid w:val="003E1768"/>
    <w:rsid w:val="003E3013"/>
    <w:rsid w:val="003E5C55"/>
    <w:rsid w:val="003F1DE3"/>
    <w:rsid w:val="003F5CED"/>
    <w:rsid w:val="003F799D"/>
    <w:rsid w:val="0040458E"/>
    <w:rsid w:val="0040795E"/>
    <w:rsid w:val="00421A77"/>
    <w:rsid w:val="00426405"/>
    <w:rsid w:val="004313F6"/>
    <w:rsid w:val="004362F4"/>
    <w:rsid w:val="00436387"/>
    <w:rsid w:val="00440E9B"/>
    <w:rsid w:val="004469A9"/>
    <w:rsid w:val="0044732F"/>
    <w:rsid w:val="00456E5D"/>
    <w:rsid w:val="00463275"/>
    <w:rsid w:val="00464302"/>
    <w:rsid w:val="004648C2"/>
    <w:rsid w:val="0046715E"/>
    <w:rsid w:val="0047125A"/>
    <w:rsid w:val="00473775"/>
    <w:rsid w:val="00473DA8"/>
    <w:rsid w:val="00475AE5"/>
    <w:rsid w:val="00476912"/>
    <w:rsid w:val="00476C1A"/>
    <w:rsid w:val="00476F4E"/>
    <w:rsid w:val="00477CB4"/>
    <w:rsid w:val="004906A2"/>
    <w:rsid w:val="00497777"/>
    <w:rsid w:val="004A0D8C"/>
    <w:rsid w:val="004A2401"/>
    <w:rsid w:val="004A3637"/>
    <w:rsid w:val="004A4247"/>
    <w:rsid w:val="004B17F6"/>
    <w:rsid w:val="004B299B"/>
    <w:rsid w:val="004B4D82"/>
    <w:rsid w:val="004C1748"/>
    <w:rsid w:val="004C22A1"/>
    <w:rsid w:val="004C2681"/>
    <w:rsid w:val="004C2A04"/>
    <w:rsid w:val="004D764F"/>
    <w:rsid w:val="004E011E"/>
    <w:rsid w:val="004E123E"/>
    <w:rsid w:val="004E280B"/>
    <w:rsid w:val="004E2F7E"/>
    <w:rsid w:val="004E5867"/>
    <w:rsid w:val="004F16B8"/>
    <w:rsid w:val="004F524F"/>
    <w:rsid w:val="004F750C"/>
    <w:rsid w:val="004F77C1"/>
    <w:rsid w:val="005023FC"/>
    <w:rsid w:val="00504BB3"/>
    <w:rsid w:val="00510137"/>
    <w:rsid w:val="00510DF9"/>
    <w:rsid w:val="00516DEF"/>
    <w:rsid w:val="00521C4B"/>
    <w:rsid w:val="005224BE"/>
    <w:rsid w:val="00522D54"/>
    <w:rsid w:val="0052541F"/>
    <w:rsid w:val="00531708"/>
    <w:rsid w:val="0053182C"/>
    <w:rsid w:val="00537264"/>
    <w:rsid w:val="00540A00"/>
    <w:rsid w:val="005423E6"/>
    <w:rsid w:val="00555A74"/>
    <w:rsid w:val="00561C21"/>
    <w:rsid w:val="00561E0C"/>
    <w:rsid w:val="0056380D"/>
    <w:rsid w:val="00563E41"/>
    <w:rsid w:val="00564885"/>
    <w:rsid w:val="005674AB"/>
    <w:rsid w:val="005700CF"/>
    <w:rsid w:val="00573069"/>
    <w:rsid w:val="0058289F"/>
    <w:rsid w:val="00585417"/>
    <w:rsid w:val="00587563"/>
    <w:rsid w:val="00594F28"/>
    <w:rsid w:val="005A4C45"/>
    <w:rsid w:val="005A6568"/>
    <w:rsid w:val="005A7FCA"/>
    <w:rsid w:val="005B0BD4"/>
    <w:rsid w:val="005B0CD5"/>
    <w:rsid w:val="005B2A7D"/>
    <w:rsid w:val="005B53BA"/>
    <w:rsid w:val="005B56CE"/>
    <w:rsid w:val="005B7FCD"/>
    <w:rsid w:val="005C4A6E"/>
    <w:rsid w:val="005C669B"/>
    <w:rsid w:val="005D2EB4"/>
    <w:rsid w:val="005D517F"/>
    <w:rsid w:val="005D691A"/>
    <w:rsid w:val="005E2A92"/>
    <w:rsid w:val="005E4BA1"/>
    <w:rsid w:val="005E6F8C"/>
    <w:rsid w:val="005F4035"/>
    <w:rsid w:val="005F53C8"/>
    <w:rsid w:val="006031A2"/>
    <w:rsid w:val="0060580E"/>
    <w:rsid w:val="00616372"/>
    <w:rsid w:val="00623CFF"/>
    <w:rsid w:val="006245B6"/>
    <w:rsid w:val="00626743"/>
    <w:rsid w:val="00626D79"/>
    <w:rsid w:val="00632ECE"/>
    <w:rsid w:val="00634465"/>
    <w:rsid w:val="00636355"/>
    <w:rsid w:val="00636C15"/>
    <w:rsid w:val="006371E5"/>
    <w:rsid w:val="006372A5"/>
    <w:rsid w:val="00637F78"/>
    <w:rsid w:val="006431C0"/>
    <w:rsid w:val="00645C72"/>
    <w:rsid w:val="00647E1D"/>
    <w:rsid w:val="0065195E"/>
    <w:rsid w:val="00653107"/>
    <w:rsid w:val="006604D2"/>
    <w:rsid w:val="00660E0F"/>
    <w:rsid w:val="00660F7B"/>
    <w:rsid w:val="00660FD6"/>
    <w:rsid w:val="006616C5"/>
    <w:rsid w:val="00663557"/>
    <w:rsid w:val="00666C7E"/>
    <w:rsid w:val="00675A3A"/>
    <w:rsid w:val="00676A5E"/>
    <w:rsid w:val="006833BD"/>
    <w:rsid w:val="00694023"/>
    <w:rsid w:val="00694579"/>
    <w:rsid w:val="0069535A"/>
    <w:rsid w:val="006A2243"/>
    <w:rsid w:val="006A2CCF"/>
    <w:rsid w:val="006A611E"/>
    <w:rsid w:val="006B1523"/>
    <w:rsid w:val="006B3677"/>
    <w:rsid w:val="006B39CF"/>
    <w:rsid w:val="006B4F54"/>
    <w:rsid w:val="006B63B6"/>
    <w:rsid w:val="006C1BCB"/>
    <w:rsid w:val="006C3138"/>
    <w:rsid w:val="006C38EF"/>
    <w:rsid w:val="006C5C95"/>
    <w:rsid w:val="006C634E"/>
    <w:rsid w:val="006D14D5"/>
    <w:rsid w:val="006D5284"/>
    <w:rsid w:val="006D56CD"/>
    <w:rsid w:val="006D6558"/>
    <w:rsid w:val="006D70DB"/>
    <w:rsid w:val="006D7401"/>
    <w:rsid w:val="006E6990"/>
    <w:rsid w:val="006F05F8"/>
    <w:rsid w:val="006F0932"/>
    <w:rsid w:val="00704ACA"/>
    <w:rsid w:val="007051D7"/>
    <w:rsid w:val="00706C13"/>
    <w:rsid w:val="00707BFB"/>
    <w:rsid w:val="00716734"/>
    <w:rsid w:val="00723BF7"/>
    <w:rsid w:val="00726D5B"/>
    <w:rsid w:val="0072791C"/>
    <w:rsid w:val="00732623"/>
    <w:rsid w:val="007359C5"/>
    <w:rsid w:val="007407A2"/>
    <w:rsid w:val="0074293D"/>
    <w:rsid w:val="0074394D"/>
    <w:rsid w:val="007444B9"/>
    <w:rsid w:val="007447AB"/>
    <w:rsid w:val="007469AF"/>
    <w:rsid w:val="007546B9"/>
    <w:rsid w:val="00756D1B"/>
    <w:rsid w:val="00756F81"/>
    <w:rsid w:val="007625CF"/>
    <w:rsid w:val="007637AB"/>
    <w:rsid w:val="00773503"/>
    <w:rsid w:val="00777D65"/>
    <w:rsid w:val="00781DF0"/>
    <w:rsid w:val="00785230"/>
    <w:rsid w:val="00785703"/>
    <w:rsid w:val="00792010"/>
    <w:rsid w:val="007A185D"/>
    <w:rsid w:val="007A7140"/>
    <w:rsid w:val="007B4002"/>
    <w:rsid w:val="007B5857"/>
    <w:rsid w:val="007C22BF"/>
    <w:rsid w:val="007C5CFF"/>
    <w:rsid w:val="007C782C"/>
    <w:rsid w:val="007D090D"/>
    <w:rsid w:val="007D0CD1"/>
    <w:rsid w:val="007E0509"/>
    <w:rsid w:val="0080674F"/>
    <w:rsid w:val="00806966"/>
    <w:rsid w:val="00812BAE"/>
    <w:rsid w:val="0081629F"/>
    <w:rsid w:val="00816C3D"/>
    <w:rsid w:val="00816D5A"/>
    <w:rsid w:val="00817D2F"/>
    <w:rsid w:val="00823154"/>
    <w:rsid w:val="008243E1"/>
    <w:rsid w:val="00830359"/>
    <w:rsid w:val="00835344"/>
    <w:rsid w:val="00840D0A"/>
    <w:rsid w:val="00842F1C"/>
    <w:rsid w:val="008571AA"/>
    <w:rsid w:val="00873A5C"/>
    <w:rsid w:val="008748E7"/>
    <w:rsid w:val="00875A7D"/>
    <w:rsid w:val="00876040"/>
    <w:rsid w:val="00880E5B"/>
    <w:rsid w:val="00892019"/>
    <w:rsid w:val="00894A85"/>
    <w:rsid w:val="00896DA4"/>
    <w:rsid w:val="008A0365"/>
    <w:rsid w:val="008A4BF9"/>
    <w:rsid w:val="008B08FF"/>
    <w:rsid w:val="008B0C14"/>
    <w:rsid w:val="008B4BD0"/>
    <w:rsid w:val="008B5487"/>
    <w:rsid w:val="008C34C8"/>
    <w:rsid w:val="008C398A"/>
    <w:rsid w:val="008C425B"/>
    <w:rsid w:val="008C5AD5"/>
    <w:rsid w:val="008D1361"/>
    <w:rsid w:val="008D1BD9"/>
    <w:rsid w:val="008D4665"/>
    <w:rsid w:val="008D53B4"/>
    <w:rsid w:val="008F2195"/>
    <w:rsid w:val="008F2B10"/>
    <w:rsid w:val="008F4CEE"/>
    <w:rsid w:val="00907C0B"/>
    <w:rsid w:val="00912EC0"/>
    <w:rsid w:val="00917AEF"/>
    <w:rsid w:val="00925082"/>
    <w:rsid w:val="00925767"/>
    <w:rsid w:val="00930991"/>
    <w:rsid w:val="009327AE"/>
    <w:rsid w:val="00934814"/>
    <w:rsid w:val="00935A24"/>
    <w:rsid w:val="00937FCC"/>
    <w:rsid w:val="00941852"/>
    <w:rsid w:val="009418A7"/>
    <w:rsid w:val="0094256C"/>
    <w:rsid w:val="00943BE2"/>
    <w:rsid w:val="00945D5D"/>
    <w:rsid w:val="00950CD1"/>
    <w:rsid w:val="00952897"/>
    <w:rsid w:val="00952D67"/>
    <w:rsid w:val="00954794"/>
    <w:rsid w:val="009549CB"/>
    <w:rsid w:val="00957AF7"/>
    <w:rsid w:val="00962F43"/>
    <w:rsid w:val="0096675E"/>
    <w:rsid w:val="009743F5"/>
    <w:rsid w:val="00981B91"/>
    <w:rsid w:val="00981EA5"/>
    <w:rsid w:val="00982E61"/>
    <w:rsid w:val="00985567"/>
    <w:rsid w:val="009864FB"/>
    <w:rsid w:val="009920DD"/>
    <w:rsid w:val="00995262"/>
    <w:rsid w:val="00997F45"/>
    <w:rsid w:val="009A6292"/>
    <w:rsid w:val="009A6859"/>
    <w:rsid w:val="009B28A9"/>
    <w:rsid w:val="009B4215"/>
    <w:rsid w:val="009B4DCB"/>
    <w:rsid w:val="009B68ED"/>
    <w:rsid w:val="009C1AD7"/>
    <w:rsid w:val="009D152D"/>
    <w:rsid w:val="009D37FE"/>
    <w:rsid w:val="009D5090"/>
    <w:rsid w:val="009E1A68"/>
    <w:rsid w:val="009E73B2"/>
    <w:rsid w:val="009F0E3E"/>
    <w:rsid w:val="009F160F"/>
    <w:rsid w:val="00A003B6"/>
    <w:rsid w:val="00A06799"/>
    <w:rsid w:val="00A1148D"/>
    <w:rsid w:val="00A12469"/>
    <w:rsid w:val="00A209E4"/>
    <w:rsid w:val="00A2104D"/>
    <w:rsid w:val="00A22F0E"/>
    <w:rsid w:val="00A37CF1"/>
    <w:rsid w:val="00A43293"/>
    <w:rsid w:val="00A448F7"/>
    <w:rsid w:val="00A4529B"/>
    <w:rsid w:val="00A5492E"/>
    <w:rsid w:val="00A5689D"/>
    <w:rsid w:val="00A64449"/>
    <w:rsid w:val="00A64DCA"/>
    <w:rsid w:val="00A6569E"/>
    <w:rsid w:val="00A6665E"/>
    <w:rsid w:val="00A740ED"/>
    <w:rsid w:val="00A86114"/>
    <w:rsid w:val="00A861AE"/>
    <w:rsid w:val="00A91884"/>
    <w:rsid w:val="00AA273A"/>
    <w:rsid w:val="00AC22D5"/>
    <w:rsid w:val="00AC2FFF"/>
    <w:rsid w:val="00AD0495"/>
    <w:rsid w:val="00AD2267"/>
    <w:rsid w:val="00AD4014"/>
    <w:rsid w:val="00AE2981"/>
    <w:rsid w:val="00AE5623"/>
    <w:rsid w:val="00AE75C9"/>
    <w:rsid w:val="00AF3E4C"/>
    <w:rsid w:val="00AF7BBE"/>
    <w:rsid w:val="00B035E0"/>
    <w:rsid w:val="00B06C8B"/>
    <w:rsid w:val="00B079C5"/>
    <w:rsid w:val="00B11FB4"/>
    <w:rsid w:val="00B12046"/>
    <w:rsid w:val="00B13EEC"/>
    <w:rsid w:val="00B1753C"/>
    <w:rsid w:val="00B175C7"/>
    <w:rsid w:val="00B17A77"/>
    <w:rsid w:val="00B247F2"/>
    <w:rsid w:val="00B30A9D"/>
    <w:rsid w:val="00B36A0D"/>
    <w:rsid w:val="00B37084"/>
    <w:rsid w:val="00B41B25"/>
    <w:rsid w:val="00B450FF"/>
    <w:rsid w:val="00B46F67"/>
    <w:rsid w:val="00B52AB7"/>
    <w:rsid w:val="00B54F13"/>
    <w:rsid w:val="00B57A6D"/>
    <w:rsid w:val="00B60247"/>
    <w:rsid w:val="00B6299D"/>
    <w:rsid w:val="00B631D6"/>
    <w:rsid w:val="00B641C5"/>
    <w:rsid w:val="00B64B9D"/>
    <w:rsid w:val="00B67E08"/>
    <w:rsid w:val="00B74BC5"/>
    <w:rsid w:val="00B76B83"/>
    <w:rsid w:val="00B77A5A"/>
    <w:rsid w:val="00B80F3D"/>
    <w:rsid w:val="00B81E7B"/>
    <w:rsid w:val="00B83336"/>
    <w:rsid w:val="00B9036B"/>
    <w:rsid w:val="00B96514"/>
    <w:rsid w:val="00B96A6F"/>
    <w:rsid w:val="00BA07FD"/>
    <w:rsid w:val="00BA3EBE"/>
    <w:rsid w:val="00BA4425"/>
    <w:rsid w:val="00BA5343"/>
    <w:rsid w:val="00BA7D84"/>
    <w:rsid w:val="00BB7ABD"/>
    <w:rsid w:val="00BB7E95"/>
    <w:rsid w:val="00BC4CD4"/>
    <w:rsid w:val="00BC5716"/>
    <w:rsid w:val="00BD3918"/>
    <w:rsid w:val="00BE0462"/>
    <w:rsid w:val="00BE7E9A"/>
    <w:rsid w:val="00BF246B"/>
    <w:rsid w:val="00BF2F42"/>
    <w:rsid w:val="00C02C74"/>
    <w:rsid w:val="00C050A4"/>
    <w:rsid w:val="00C07165"/>
    <w:rsid w:val="00C0792F"/>
    <w:rsid w:val="00C106B5"/>
    <w:rsid w:val="00C15263"/>
    <w:rsid w:val="00C17235"/>
    <w:rsid w:val="00C20804"/>
    <w:rsid w:val="00C25D7A"/>
    <w:rsid w:val="00C26881"/>
    <w:rsid w:val="00C269A2"/>
    <w:rsid w:val="00C3331C"/>
    <w:rsid w:val="00C42808"/>
    <w:rsid w:val="00C51F49"/>
    <w:rsid w:val="00C5627B"/>
    <w:rsid w:val="00C611DA"/>
    <w:rsid w:val="00C628A5"/>
    <w:rsid w:val="00C66980"/>
    <w:rsid w:val="00C674EE"/>
    <w:rsid w:val="00C67AE1"/>
    <w:rsid w:val="00C70C01"/>
    <w:rsid w:val="00C72096"/>
    <w:rsid w:val="00C7768D"/>
    <w:rsid w:val="00C82DEA"/>
    <w:rsid w:val="00C863D9"/>
    <w:rsid w:val="00C868C8"/>
    <w:rsid w:val="00C920A7"/>
    <w:rsid w:val="00C955E4"/>
    <w:rsid w:val="00C96347"/>
    <w:rsid w:val="00CA3FF1"/>
    <w:rsid w:val="00CB10B4"/>
    <w:rsid w:val="00CC05D0"/>
    <w:rsid w:val="00CC20A0"/>
    <w:rsid w:val="00CC24C7"/>
    <w:rsid w:val="00CC5BF5"/>
    <w:rsid w:val="00CD0600"/>
    <w:rsid w:val="00CD0D63"/>
    <w:rsid w:val="00CD43F1"/>
    <w:rsid w:val="00CE689A"/>
    <w:rsid w:val="00CE7B3F"/>
    <w:rsid w:val="00CF0E50"/>
    <w:rsid w:val="00CF1A75"/>
    <w:rsid w:val="00CF4E27"/>
    <w:rsid w:val="00CF7C10"/>
    <w:rsid w:val="00D02D53"/>
    <w:rsid w:val="00D06C8D"/>
    <w:rsid w:val="00D07D23"/>
    <w:rsid w:val="00D14297"/>
    <w:rsid w:val="00D1549A"/>
    <w:rsid w:val="00D329F6"/>
    <w:rsid w:val="00D412DB"/>
    <w:rsid w:val="00D443CF"/>
    <w:rsid w:val="00D50CD3"/>
    <w:rsid w:val="00D522CA"/>
    <w:rsid w:val="00D57FC2"/>
    <w:rsid w:val="00D63286"/>
    <w:rsid w:val="00D633B5"/>
    <w:rsid w:val="00D7446A"/>
    <w:rsid w:val="00D745E0"/>
    <w:rsid w:val="00D7687A"/>
    <w:rsid w:val="00D76973"/>
    <w:rsid w:val="00D84C8F"/>
    <w:rsid w:val="00D84EB6"/>
    <w:rsid w:val="00D903D8"/>
    <w:rsid w:val="00D9385D"/>
    <w:rsid w:val="00D948EC"/>
    <w:rsid w:val="00D94AFF"/>
    <w:rsid w:val="00DA39E0"/>
    <w:rsid w:val="00DA4FC2"/>
    <w:rsid w:val="00DA674A"/>
    <w:rsid w:val="00DB1DDE"/>
    <w:rsid w:val="00DB3904"/>
    <w:rsid w:val="00DB555D"/>
    <w:rsid w:val="00DB6432"/>
    <w:rsid w:val="00DC2C03"/>
    <w:rsid w:val="00DC3050"/>
    <w:rsid w:val="00DC3C83"/>
    <w:rsid w:val="00DC65EE"/>
    <w:rsid w:val="00DD1B55"/>
    <w:rsid w:val="00DD5FFC"/>
    <w:rsid w:val="00DD68D2"/>
    <w:rsid w:val="00DD7F9A"/>
    <w:rsid w:val="00DE0A53"/>
    <w:rsid w:val="00DE5E7F"/>
    <w:rsid w:val="00DF1A31"/>
    <w:rsid w:val="00DF5F1D"/>
    <w:rsid w:val="00DF7CDB"/>
    <w:rsid w:val="00E01BC4"/>
    <w:rsid w:val="00E043BD"/>
    <w:rsid w:val="00E05007"/>
    <w:rsid w:val="00E062F2"/>
    <w:rsid w:val="00E11A5A"/>
    <w:rsid w:val="00E12532"/>
    <w:rsid w:val="00E1760E"/>
    <w:rsid w:val="00E22B0A"/>
    <w:rsid w:val="00E3002D"/>
    <w:rsid w:val="00E32776"/>
    <w:rsid w:val="00E334F1"/>
    <w:rsid w:val="00E33A59"/>
    <w:rsid w:val="00E40457"/>
    <w:rsid w:val="00E42472"/>
    <w:rsid w:val="00E42A42"/>
    <w:rsid w:val="00E4416D"/>
    <w:rsid w:val="00E54104"/>
    <w:rsid w:val="00E55413"/>
    <w:rsid w:val="00E56E70"/>
    <w:rsid w:val="00E700B3"/>
    <w:rsid w:val="00E71616"/>
    <w:rsid w:val="00E724BB"/>
    <w:rsid w:val="00E73D3A"/>
    <w:rsid w:val="00E746D4"/>
    <w:rsid w:val="00E75176"/>
    <w:rsid w:val="00E8346A"/>
    <w:rsid w:val="00E9481F"/>
    <w:rsid w:val="00E94CF0"/>
    <w:rsid w:val="00E96107"/>
    <w:rsid w:val="00EA1ABF"/>
    <w:rsid w:val="00EA22A9"/>
    <w:rsid w:val="00EA5A02"/>
    <w:rsid w:val="00EB561A"/>
    <w:rsid w:val="00EC0228"/>
    <w:rsid w:val="00EC37B2"/>
    <w:rsid w:val="00EC5C97"/>
    <w:rsid w:val="00EC7B63"/>
    <w:rsid w:val="00ED0BFC"/>
    <w:rsid w:val="00ED1595"/>
    <w:rsid w:val="00ED7455"/>
    <w:rsid w:val="00ED7815"/>
    <w:rsid w:val="00EE1B86"/>
    <w:rsid w:val="00EE2D3F"/>
    <w:rsid w:val="00EE625F"/>
    <w:rsid w:val="00EF2008"/>
    <w:rsid w:val="00EF2FA7"/>
    <w:rsid w:val="00EF34AE"/>
    <w:rsid w:val="00EF6FF1"/>
    <w:rsid w:val="00F07A33"/>
    <w:rsid w:val="00F07A41"/>
    <w:rsid w:val="00F107C6"/>
    <w:rsid w:val="00F1227C"/>
    <w:rsid w:val="00F2245A"/>
    <w:rsid w:val="00F26C37"/>
    <w:rsid w:val="00F3587D"/>
    <w:rsid w:val="00F410E8"/>
    <w:rsid w:val="00F42F5F"/>
    <w:rsid w:val="00F50315"/>
    <w:rsid w:val="00F52DFE"/>
    <w:rsid w:val="00F54DF5"/>
    <w:rsid w:val="00F611A9"/>
    <w:rsid w:val="00F71E72"/>
    <w:rsid w:val="00F7306A"/>
    <w:rsid w:val="00F737FF"/>
    <w:rsid w:val="00F75757"/>
    <w:rsid w:val="00F7717F"/>
    <w:rsid w:val="00F81B22"/>
    <w:rsid w:val="00F82173"/>
    <w:rsid w:val="00F827E4"/>
    <w:rsid w:val="00F84294"/>
    <w:rsid w:val="00F86A85"/>
    <w:rsid w:val="00F90A4A"/>
    <w:rsid w:val="00FA14BD"/>
    <w:rsid w:val="00FA4CBF"/>
    <w:rsid w:val="00FB1C1A"/>
    <w:rsid w:val="00FB2796"/>
    <w:rsid w:val="00FB34E3"/>
    <w:rsid w:val="00FB5FC8"/>
    <w:rsid w:val="00FB7097"/>
    <w:rsid w:val="00FC3A04"/>
    <w:rsid w:val="00FC4570"/>
    <w:rsid w:val="00FC6E1B"/>
    <w:rsid w:val="00FD4BFC"/>
    <w:rsid w:val="00FD56E1"/>
    <w:rsid w:val="00FD744B"/>
    <w:rsid w:val="00FE2AB3"/>
    <w:rsid w:val="00FF73CE"/>
    <w:rsid w:val="00FF7F02"/>
    <w:rsid w:val="01B02834"/>
    <w:rsid w:val="01F522E6"/>
    <w:rsid w:val="027F4D04"/>
    <w:rsid w:val="052E4F41"/>
    <w:rsid w:val="05D6608B"/>
    <w:rsid w:val="063740E4"/>
    <w:rsid w:val="07146D98"/>
    <w:rsid w:val="07663B9E"/>
    <w:rsid w:val="07D6305C"/>
    <w:rsid w:val="09385410"/>
    <w:rsid w:val="098B1587"/>
    <w:rsid w:val="09F765D8"/>
    <w:rsid w:val="0A4D094F"/>
    <w:rsid w:val="0B551595"/>
    <w:rsid w:val="0BD2259A"/>
    <w:rsid w:val="0C4F1707"/>
    <w:rsid w:val="0E8A5825"/>
    <w:rsid w:val="0EBA1BA4"/>
    <w:rsid w:val="0ECD3EA6"/>
    <w:rsid w:val="0F6053B2"/>
    <w:rsid w:val="117D33E9"/>
    <w:rsid w:val="11F44C56"/>
    <w:rsid w:val="13042280"/>
    <w:rsid w:val="14807EB0"/>
    <w:rsid w:val="16177A09"/>
    <w:rsid w:val="16A93D07"/>
    <w:rsid w:val="17402BC9"/>
    <w:rsid w:val="1A420E1E"/>
    <w:rsid w:val="1B355105"/>
    <w:rsid w:val="1BBF06AD"/>
    <w:rsid w:val="1BC30143"/>
    <w:rsid w:val="1E4719E6"/>
    <w:rsid w:val="227F6C7E"/>
    <w:rsid w:val="23315B29"/>
    <w:rsid w:val="24B06812"/>
    <w:rsid w:val="26304BC0"/>
    <w:rsid w:val="283422A1"/>
    <w:rsid w:val="290343AE"/>
    <w:rsid w:val="29240E90"/>
    <w:rsid w:val="29E92021"/>
    <w:rsid w:val="2A814615"/>
    <w:rsid w:val="2AD70E6B"/>
    <w:rsid w:val="2C642B46"/>
    <w:rsid w:val="2D43338B"/>
    <w:rsid w:val="2EC34734"/>
    <w:rsid w:val="2F456E09"/>
    <w:rsid w:val="2F495743"/>
    <w:rsid w:val="2F965076"/>
    <w:rsid w:val="30012C1F"/>
    <w:rsid w:val="31273DBA"/>
    <w:rsid w:val="3153487C"/>
    <w:rsid w:val="32D07C80"/>
    <w:rsid w:val="33216698"/>
    <w:rsid w:val="33A915AE"/>
    <w:rsid w:val="34A91917"/>
    <w:rsid w:val="36A57B46"/>
    <w:rsid w:val="37DC36D9"/>
    <w:rsid w:val="38494CA3"/>
    <w:rsid w:val="3B24180F"/>
    <w:rsid w:val="3C17635E"/>
    <w:rsid w:val="3D2B5AD8"/>
    <w:rsid w:val="3E61508A"/>
    <w:rsid w:val="3F132FB6"/>
    <w:rsid w:val="3FF60885"/>
    <w:rsid w:val="408305B0"/>
    <w:rsid w:val="408A2E74"/>
    <w:rsid w:val="41541A18"/>
    <w:rsid w:val="41605EC8"/>
    <w:rsid w:val="4189377B"/>
    <w:rsid w:val="46AF075C"/>
    <w:rsid w:val="479C029F"/>
    <w:rsid w:val="488D5492"/>
    <w:rsid w:val="491C42AF"/>
    <w:rsid w:val="4B606700"/>
    <w:rsid w:val="4B9931AE"/>
    <w:rsid w:val="4EF27A04"/>
    <w:rsid w:val="4F85275A"/>
    <w:rsid w:val="4FC8656E"/>
    <w:rsid w:val="51AE7211"/>
    <w:rsid w:val="52CB1675"/>
    <w:rsid w:val="533272B6"/>
    <w:rsid w:val="533A1A53"/>
    <w:rsid w:val="533A4B08"/>
    <w:rsid w:val="570C4DB8"/>
    <w:rsid w:val="594D231C"/>
    <w:rsid w:val="596A5151"/>
    <w:rsid w:val="5A81312F"/>
    <w:rsid w:val="5B3B5747"/>
    <w:rsid w:val="5DF725B9"/>
    <w:rsid w:val="61E233D3"/>
    <w:rsid w:val="626A6D1F"/>
    <w:rsid w:val="63EF0D1E"/>
    <w:rsid w:val="66485AFD"/>
    <w:rsid w:val="679B35E2"/>
    <w:rsid w:val="6CC07C8F"/>
    <w:rsid w:val="72154D9E"/>
    <w:rsid w:val="72DB7058"/>
    <w:rsid w:val="75C04310"/>
    <w:rsid w:val="775E666E"/>
    <w:rsid w:val="77D41C4D"/>
    <w:rsid w:val="7C4F0970"/>
    <w:rsid w:val="7DC23B4B"/>
    <w:rsid w:val="7EB42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semiHidden="0" w:name="heading 3"/>
    <w:lsdException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Theme="minorEastAsia" w:cstheme="minorBidi"/>
      <w:kern w:val="2"/>
      <w:sz w:val="24"/>
      <w:szCs w:val="24"/>
      <w:lang w:val="en-US" w:eastAsia="zh-CN" w:bidi="ar-SA"/>
    </w:rPr>
  </w:style>
  <w:style w:type="paragraph" w:styleId="4">
    <w:name w:val="heading 1"/>
    <w:basedOn w:val="1"/>
    <w:next w:val="1"/>
    <w:qFormat/>
    <w:uiPriority w:val="99"/>
    <w:pPr>
      <w:keepNext/>
      <w:keepLines/>
      <w:ind w:firstLine="0" w:firstLineChars="0"/>
      <w:jc w:val="left"/>
      <w:outlineLvl w:val="0"/>
    </w:pPr>
    <w:rPr>
      <w:rFonts w:eastAsia="宋体"/>
      <w:b/>
      <w:bCs/>
      <w:kern w:val="44"/>
      <w:sz w:val="30"/>
      <w:szCs w:val="44"/>
    </w:rPr>
  </w:style>
  <w:style w:type="paragraph" w:styleId="5">
    <w:name w:val="heading 2"/>
    <w:basedOn w:val="1"/>
    <w:next w:val="1"/>
    <w:qFormat/>
    <w:uiPriority w:val="99"/>
    <w:pPr>
      <w:keepNext/>
      <w:keepLines/>
      <w:ind w:firstLine="0" w:firstLineChars="0"/>
      <w:jc w:val="left"/>
      <w:outlineLvl w:val="1"/>
    </w:pPr>
    <w:rPr>
      <w:rFonts w:eastAsia="宋体" w:cs="Arial"/>
      <w:b/>
      <w:bCs/>
      <w:sz w:val="28"/>
      <w:szCs w:val="32"/>
    </w:rPr>
  </w:style>
  <w:style w:type="paragraph" w:styleId="6">
    <w:name w:val="heading 3"/>
    <w:basedOn w:val="1"/>
    <w:next w:val="1"/>
    <w:unhideWhenUsed/>
    <w:qFormat/>
    <w:uiPriority w:val="0"/>
    <w:pPr>
      <w:keepNext/>
      <w:keepLines/>
      <w:ind w:firstLine="0" w:firstLineChars="0"/>
      <w:jc w:val="left"/>
      <w:outlineLvl w:val="2"/>
    </w:pPr>
    <w:rPr>
      <w:b/>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after="120"/>
      <w:ind w:left="420" w:leftChars="200"/>
    </w:pPr>
  </w:style>
  <w:style w:type="paragraph" w:styleId="7">
    <w:name w:val="Normal Indent"/>
    <w:basedOn w:val="1"/>
    <w:qFormat/>
    <w:uiPriority w:val="99"/>
    <w:pPr>
      <w:adjustRightInd w:val="0"/>
      <w:snapToGrid w:val="0"/>
      <w:ind w:firstLine="454"/>
    </w:pPr>
    <w:rPr>
      <w:rFonts w:cs="Times New Roman"/>
      <w:color w:val="000000"/>
    </w:rPr>
  </w:style>
  <w:style w:type="paragraph" w:styleId="8">
    <w:name w:val="annotation text"/>
    <w:basedOn w:val="1"/>
    <w:link w:val="38"/>
    <w:qFormat/>
    <w:uiPriority w:val="0"/>
    <w:pPr>
      <w:jc w:val="left"/>
    </w:pPr>
  </w:style>
  <w:style w:type="paragraph" w:styleId="9">
    <w:name w:val="Body Text"/>
    <w:basedOn w:val="1"/>
    <w:qFormat/>
    <w:uiPriority w:val="0"/>
    <w:pPr>
      <w:jc w:val="center"/>
    </w:pPr>
    <w:rPr>
      <w:sz w:val="21"/>
    </w:rPr>
  </w:style>
  <w:style w:type="paragraph" w:styleId="10">
    <w:name w:val="toc 3"/>
    <w:basedOn w:val="1"/>
    <w:next w:val="1"/>
    <w:qFormat/>
    <w:uiPriority w:val="39"/>
    <w:pPr>
      <w:ind w:left="840" w:leftChars="400"/>
    </w:pPr>
  </w:style>
  <w:style w:type="paragraph" w:styleId="11">
    <w:name w:val="Plain Text"/>
    <w:basedOn w:val="1"/>
    <w:qFormat/>
    <w:uiPriority w:val="99"/>
    <w:rPr>
      <w:rFonts w:ascii="宋体" w:hAnsi="Courier New" w:cs="宋体"/>
      <w:sz w:val="28"/>
      <w:szCs w:val="28"/>
    </w:rPr>
  </w:style>
  <w:style w:type="paragraph" w:styleId="12">
    <w:name w:val="Balloon Text"/>
    <w:basedOn w:val="1"/>
    <w:link w:val="46"/>
    <w:qFormat/>
    <w:uiPriority w:val="0"/>
    <w:pPr>
      <w:spacing w:line="240" w:lineRule="auto"/>
    </w:pPr>
    <w:rPr>
      <w:sz w:val="18"/>
      <w:szCs w:val="18"/>
    </w:rPr>
  </w:style>
  <w:style w:type="paragraph" w:styleId="13">
    <w:name w:val="footer"/>
    <w:basedOn w:val="1"/>
    <w:link w:val="41"/>
    <w:qFormat/>
    <w:uiPriority w:val="99"/>
    <w:pPr>
      <w:tabs>
        <w:tab w:val="center" w:pos="4153"/>
        <w:tab w:val="right" w:pos="8306"/>
      </w:tabs>
      <w:snapToGrid w:val="0"/>
      <w:jc w:val="left"/>
    </w:pPr>
    <w:rPr>
      <w:sz w:val="18"/>
    </w:rPr>
  </w:style>
  <w:style w:type="paragraph" w:styleId="14">
    <w:name w:val="header"/>
    <w:basedOn w:val="1"/>
    <w:link w:val="4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cs="Times New Roman"/>
    </w:rPr>
  </w:style>
  <w:style w:type="paragraph" w:styleId="15">
    <w:name w:val="toc 1"/>
    <w:basedOn w:val="1"/>
    <w:next w:val="1"/>
    <w:qFormat/>
    <w:uiPriority w:val="39"/>
    <w:pPr>
      <w:ind w:firstLine="0" w:firstLineChars="0"/>
    </w:pPr>
    <w:rPr>
      <w:rFonts w:eastAsia="宋体"/>
    </w:rPr>
  </w:style>
  <w:style w:type="paragraph" w:styleId="16">
    <w:name w:val="Body Text Indent 3"/>
    <w:basedOn w:val="1"/>
    <w:qFormat/>
    <w:uiPriority w:val="99"/>
    <w:pPr>
      <w:ind w:firstLine="585"/>
    </w:pPr>
    <w:rPr>
      <w:rFonts w:ascii="宋体" w:cs="宋体"/>
      <w:sz w:val="28"/>
      <w:szCs w:val="28"/>
    </w:rPr>
  </w:style>
  <w:style w:type="paragraph" w:styleId="17">
    <w:name w:val="toc 2"/>
    <w:basedOn w:val="1"/>
    <w:next w:val="1"/>
    <w:qFormat/>
    <w:uiPriority w:val="39"/>
  </w:style>
  <w:style w:type="paragraph" w:styleId="18">
    <w:name w:val="Normal (Web)"/>
    <w:basedOn w:val="1"/>
    <w:qFormat/>
    <w:uiPriority w:val="0"/>
    <w:pPr>
      <w:spacing w:beforeAutospacing="1" w:afterAutospacing="1"/>
      <w:jc w:val="left"/>
    </w:pPr>
    <w:rPr>
      <w:rFonts w:cs="Times New Roman"/>
      <w:kern w:val="0"/>
    </w:rPr>
  </w:style>
  <w:style w:type="paragraph" w:styleId="19">
    <w:name w:val="annotation subject"/>
    <w:basedOn w:val="8"/>
    <w:next w:val="8"/>
    <w:link w:val="44"/>
    <w:qFormat/>
    <w:uiPriority w:val="0"/>
    <w:rPr>
      <w:b/>
      <w:bCs/>
    </w:rPr>
  </w:style>
  <w:style w:type="paragraph" w:styleId="20">
    <w:name w:val="Body Text First Indent"/>
    <w:basedOn w:val="9"/>
    <w:qFormat/>
    <w:uiPriority w:val="0"/>
    <w:pPr>
      <w:widowControl/>
      <w:spacing w:after="120"/>
      <w:ind w:firstLine="100" w:firstLineChars="100"/>
      <w:jc w:val="left"/>
    </w:pPr>
    <w:rPr>
      <w:kern w:val="0"/>
      <w:sz w:val="28"/>
      <w:szCs w:val="20"/>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800080"/>
      <w:u w:val="none"/>
    </w:rPr>
  </w:style>
  <w:style w:type="character" w:styleId="27">
    <w:name w:val="Hyperlink"/>
    <w:basedOn w:val="23"/>
    <w:qFormat/>
    <w:uiPriority w:val="99"/>
    <w:rPr>
      <w:color w:val="0000FF"/>
      <w:u w:val="single"/>
    </w:rPr>
  </w:style>
  <w:style w:type="character" w:styleId="28">
    <w:name w:val="annotation reference"/>
    <w:basedOn w:val="23"/>
    <w:qFormat/>
    <w:uiPriority w:val="0"/>
    <w:rPr>
      <w:sz w:val="21"/>
      <w:szCs w:val="21"/>
    </w:rPr>
  </w:style>
  <w:style w:type="paragraph" w:customStyle="1" w:styleId="29">
    <w:name w:val="表标题"/>
    <w:basedOn w:val="1"/>
    <w:next w:val="1"/>
    <w:qFormat/>
    <w:uiPriority w:val="0"/>
    <w:pPr>
      <w:spacing w:before="20" w:beforeLines="20" w:after="10" w:afterLines="10" w:line="240" w:lineRule="auto"/>
      <w:ind w:firstLine="0" w:firstLineChars="0"/>
      <w:jc w:val="center"/>
    </w:pPr>
    <w:rPr>
      <w:rFonts w:cs="Times New Roman"/>
      <w:b/>
      <w:bCs/>
      <w:color w:val="000000" w:themeColor="text1"/>
      <w:sz w:val="21"/>
      <w:szCs w:val="36"/>
      <w14:textFill>
        <w14:solidFill>
          <w14:schemeClr w14:val="tx1"/>
        </w14:solidFill>
      </w14:textFill>
    </w:rPr>
  </w:style>
  <w:style w:type="paragraph" w:customStyle="1" w:styleId="30">
    <w:name w:val="图表标题"/>
    <w:basedOn w:val="1"/>
    <w:qFormat/>
    <w:uiPriority w:val="99"/>
    <w:pPr>
      <w:widowControl/>
      <w:tabs>
        <w:tab w:val="left" w:pos="1134"/>
      </w:tabs>
      <w:spacing w:before="20" w:beforeLines="20" w:after="10" w:afterLines="10" w:line="240" w:lineRule="auto"/>
      <w:ind w:firstLine="0" w:firstLineChars="0"/>
      <w:jc w:val="center"/>
    </w:pPr>
    <w:rPr>
      <w:rFonts w:cs="Times New Roman"/>
      <w:b/>
      <w:sz w:val="21"/>
      <w:szCs w:val="32"/>
    </w:rPr>
  </w:style>
  <w:style w:type="paragraph" w:customStyle="1" w:styleId="31">
    <w:name w:val="_Style 36"/>
    <w:basedOn w:val="1"/>
    <w:qFormat/>
    <w:uiPriority w:val="0"/>
  </w:style>
  <w:style w:type="paragraph" w:customStyle="1" w:styleId="32">
    <w:name w:val="表格"/>
    <w:basedOn w:val="1"/>
    <w:qFormat/>
    <w:uiPriority w:val="0"/>
    <w:pPr>
      <w:snapToGrid w:val="0"/>
      <w:spacing w:line="240" w:lineRule="auto"/>
      <w:ind w:firstLine="0" w:firstLineChars="0"/>
      <w:jc w:val="center"/>
    </w:pPr>
    <w:rPr>
      <w:sz w:val="21"/>
    </w:rPr>
  </w:style>
  <w:style w:type="paragraph" w:customStyle="1" w:styleId="33">
    <w:name w:val="Table Paragraph"/>
    <w:basedOn w:val="1"/>
    <w:qFormat/>
    <w:uiPriority w:val="1"/>
    <w:pPr>
      <w:autoSpaceDE w:val="0"/>
      <w:autoSpaceDN w:val="0"/>
      <w:adjustRightInd w:val="0"/>
      <w:jc w:val="left"/>
    </w:pPr>
    <w:rPr>
      <w:rFonts w:cs="Times New Roman"/>
      <w:kern w:val="0"/>
    </w:rPr>
  </w:style>
  <w:style w:type="paragraph" w:customStyle="1" w:styleId="34">
    <w:name w:val="五号表格"/>
    <w:basedOn w:val="1"/>
    <w:qFormat/>
    <w:uiPriority w:val="0"/>
    <w:pPr>
      <w:jc w:val="center"/>
    </w:pPr>
    <w:rPr>
      <w:kern w:val="0"/>
      <w:szCs w:val="20"/>
    </w:rPr>
  </w:style>
  <w:style w:type="paragraph" w:customStyle="1" w:styleId="35">
    <w:name w:val="正文01"/>
    <w:basedOn w:val="1"/>
    <w:qFormat/>
    <w:uiPriority w:val="99"/>
    <w:pPr>
      <w:spacing w:before="60" w:line="460" w:lineRule="exact"/>
      <w:ind w:firstLine="200"/>
    </w:pPr>
    <w:rPr>
      <w:rFonts w:cs="Times New Roman"/>
      <w:kern w:val="0"/>
    </w:rPr>
  </w:style>
  <w:style w:type="character" w:customStyle="1" w:styleId="36">
    <w:name w:val="font21"/>
    <w:basedOn w:val="23"/>
    <w:qFormat/>
    <w:uiPriority w:val="0"/>
    <w:rPr>
      <w:rFonts w:hint="eastAsia" w:ascii="宋体" w:hAnsi="宋体" w:eastAsia="宋体" w:cs="宋体"/>
      <w:color w:val="000000"/>
      <w:sz w:val="24"/>
      <w:szCs w:val="24"/>
      <w:u w:val="none"/>
    </w:rPr>
  </w:style>
  <w:style w:type="paragraph" w:customStyle="1" w:styleId="37">
    <w:name w:val="p0"/>
    <w:basedOn w:val="1"/>
    <w:qFormat/>
    <w:uiPriority w:val="0"/>
    <w:pPr>
      <w:spacing w:line="240" w:lineRule="auto"/>
      <w:ind w:firstLine="0" w:firstLineChars="0"/>
    </w:pPr>
    <w:rPr>
      <w:sz w:val="28"/>
      <w:szCs w:val="28"/>
    </w:rPr>
  </w:style>
  <w:style w:type="character" w:customStyle="1" w:styleId="38">
    <w:name w:val="批注文字 字符"/>
    <w:basedOn w:val="23"/>
    <w:link w:val="8"/>
    <w:qFormat/>
    <w:uiPriority w:val="0"/>
    <w:rPr>
      <w:rFonts w:ascii="Times New Roman" w:hAnsi="Times New Roman"/>
      <w:kern w:val="2"/>
      <w:sz w:val="24"/>
      <w:szCs w:val="24"/>
    </w:rPr>
  </w:style>
  <w:style w:type="character" w:customStyle="1" w:styleId="39">
    <w:name w:val="表格格式 Char"/>
    <w:link w:val="40"/>
    <w:qFormat/>
    <w:uiPriority w:val="0"/>
    <w:rPr>
      <w:rFonts w:ascii="Times New Roman" w:hAnsi="Times New Roman"/>
      <w:color w:val="000000"/>
      <w:sz w:val="21"/>
      <w:szCs w:val="21"/>
    </w:rPr>
  </w:style>
  <w:style w:type="paragraph" w:customStyle="1" w:styleId="40">
    <w:name w:val="表格格式"/>
    <w:basedOn w:val="1"/>
    <w:next w:val="1"/>
    <w:link w:val="39"/>
    <w:qFormat/>
    <w:uiPriority w:val="0"/>
    <w:pPr>
      <w:widowControl/>
      <w:spacing w:line="240" w:lineRule="auto"/>
      <w:ind w:firstLine="0" w:firstLineChars="0"/>
      <w:jc w:val="center"/>
    </w:pPr>
    <w:rPr>
      <w:color w:val="000000"/>
      <w:kern w:val="0"/>
      <w:sz w:val="21"/>
      <w:szCs w:val="21"/>
    </w:rPr>
  </w:style>
  <w:style w:type="character" w:customStyle="1" w:styleId="41">
    <w:name w:val="页脚 字符"/>
    <w:basedOn w:val="23"/>
    <w:link w:val="13"/>
    <w:qFormat/>
    <w:uiPriority w:val="99"/>
    <w:rPr>
      <w:rFonts w:ascii="Times New Roman" w:hAnsi="Times New Roman"/>
      <w:kern w:val="2"/>
      <w:sz w:val="18"/>
      <w:szCs w:val="24"/>
    </w:rPr>
  </w:style>
  <w:style w:type="paragraph" w:customStyle="1" w:styleId="42">
    <w:name w:val="表格内样式"/>
    <w:qFormat/>
    <w:uiPriority w:val="1"/>
    <w:pPr>
      <w:widowControl w:val="0"/>
      <w:jc w:val="center"/>
    </w:pPr>
    <w:rPr>
      <w:rFonts w:ascii="Times New Roman" w:hAnsi="Times New Roman" w:eastAsia="宋体" w:cs="Times New Roman"/>
      <w:kern w:val="2"/>
      <w:sz w:val="21"/>
      <w:lang w:val="en-US" w:eastAsia="zh-CN" w:bidi="ar-SA"/>
    </w:rPr>
  </w:style>
  <w:style w:type="character" w:customStyle="1" w:styleId="43">
    <w:name w:val="页眉 字符"/>
    <w:basedOn w:val="23"/>
    <w:link w:val="14"/>
    <w:qFormat/>
    <w:uiPriority w:val="99"/>
    <w:rPr>
      <w:rFonts w:ascii="Times New Roman" w:hAnsi="Times New Roman" w:cs="Times New Roman"/>
      <w:kern w:val="2"/>
      <w:sz w:val="24"/>
      <w:szCs w:val="24"/>
    </w:rPr>
  </w:style>
  <w:style w:type="character" w:customStyle="1" w:styleId="44">
    <w:name w:val="批注主题 字符"/>
    <w:basedOn w:val="38"/>
    <w:link w:val="19"/>
    <w:qFormat/>
    <w:uiPriority w:val="0"/>
    <w:rPr>
      <w:rFonts w:ascii="Times New Roman" w:hAnsi="Times New Roman" w:eastAsiaTheme="minorEastAsia" w:cstheme="minorBidi"/>
      <w:b/>
      <w:bCs/>
      <w:kern w:val="2"/>
      <w:sz w:val="24"/>
      <w:szCs w:val="24"/>
    </w:rPr>
  </w:style>
  <w:style w:type="paragraph" w:styleId="45">
    <w:name w:val="No Spacing"/>
    <w:qFormat/>
    <w:uiPriority w:val="0"/>
    <w:pPr>
      <w:widowControl w:val="0"/>
      <w:ind w:firstLine="200" w:firstLineChars="200"/>
      <w:jc w:val="both"/>
    </w:pPr>
    <w:rPr>
      <w:rFonts w:ascii="Times New Roman" w:hAnsi="Times New Roman" w:eastAsia="宋体" w:cs="Times New Roman"/>
      <w:kern w:val="2"/>
      <w:sz w:val="24"/>
      <w:lang w:val="en-US" w:eastAsia="zh-CN" w:bidi="ar-SA"/>
    </w:rPr>
  </w:style>
  <w:style w:type="character" w:customStyle="1" w:styleId="46">
    <w:name w:val="批注框文本 字符"/>
    <w:basedOn w:val="23"/>
    <w:link w:val="12"/>
    <w:qFormat/>
    <w:uiPriority w:val="0"/>
    <w:rPr>
      <w:rFonts w:eastAsiaTheme="minorEastAsia" w:cstheme="minorBidi"/>
      <w:kern w:val="2"/>
      <w:sz w:val="18"/>
      <w:szCs w:val="18"/>
    </w:rPr>
  </w:style>
  <w:style w:type="paragraph" w:customStyle="1" w:styleId="47">
    <w:name w:val="4"/>
    <w:basedOn w:val="1"/>
    <w:qFormat/>
    <w:uiPriority w:val="0"/>
    <w:pPr>
      <w:widowControl/>
      <w:spacing w:after="160" w:line="240" w:lineRule="exact"/>
      <w:ind w:firstLine="0" w:firstLineChars="0"/>
      <w:jc w:val="left"/>
      <w:textAlignment w:val="center"/>
    </w:pPr>
    <w:rPr>
      <w:rFonts w:eastAsia="宋体" w:cs="Times New Roman"/>
      <w:sz w:val="21"/>
      <w:szCs w:val="20"/>
    </w:rPr>
  </w:style>
  <w:style w:type="paragraph" w:customStyle="1" w:styleId="48">
    <w:name w:val="默认段落字体 Para Char Char Char Char"/>
    <w:basedOn w:val="1"/>
    <w:qFormat/>
    <w:uiPriority w:val="0"/>
    <w:pPr>
      <w:spacing w:line="240" w:lineRule="auto"/>
      <w:ind w:firstLine="0" w:firstLineChars="0"/>
    </w:pPr>
    <w:rPr>
      <w:rFonts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4.jpeg"/><Relationship Id="rId70" Type="http://schemas.openxmlformats.org/officeDocument/2006/relationships/image" Target="media/image43.jpeg"/><Relationship Id="rId7" Type="http://schemas.openxmlformats.org/officeDocument/2006/relationships/header" Target="header3.xml"/><Relationship Id="rId69" Type="http://schemas.openxmlformats.org/officeDocument/2006/relationships/image" Target="media/image42.jpeg"/><Relationship Id="rId68" Type="http://schemas.openxmlformats.org/officeDocument/2006/relationships/image" Target="media/image41.jpeg"/><Relationship Id="rId67" Type="http://schemas.openxmlformats.org/officeDocument/2006/relationships/image" Target="media/image40.jpeg"/><Relationship Id="rId66" Type="http://schemas.openxmlformats.org/officeDocument/2006/relationships/image" Target="media/image39.jpeg"/><Relationship Id="rId65" Type="http://schemas.openxmlformats.org/officeDocument/2006/relationships/image" Target="media/image38.jpeg"/><Relationship Id="rId64" Type="http://schemas.openxmlformats.org/officeDocument/2006/relationships/image" Target="media/image37.jpeg"/><Relationship Id="rId63" Type="http://schemas.openxmlformats.org/officeDocument/2006/relationships/image" Target="media/image36.jpe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jpeg"/><Relationship Id="rId6" Type="http://schemas.openxmlformats.org/officeDocument/2006/relationships/header" Target="header2.xml"/><Relationship Id="rId59" Type="http://schemas.openxmlformats.org/officeDocument/2006/relationships/image" Target="media/image32.jpeg"/><Relationship Id="rId58" Type="http://schemas.openxmlformats.org/officeDocument/2006/relationships/image" Target="media/image31.jpeg"/><Relationship Id="rId57" Type="http://schemas.openxmlformats.org/officeDocument/2006/relationships/image" Target="media/image30.jpeg"/><Relationship Id="rId56" Type="http://schemas.openxmlformats.org/officeDocument/2006/relationships/image" Target="media/image29.jpeg"/><Relationship Id="rId55" Type="http://schemas.openxmlformats.org/officeDocument/2006/relationships/image" Target="media/image28.jpeg"/><Relationship Id="rId54" Type="http://schemas.openxmlformats.org/officeDocument/2006/relationships/image" Target="media/image27.jpe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image" Target="media/image24.jpeg"/><Relationship Id="rId50" Type="http://schemas.openxmlformats.org/officeDocument/2006/relationships/image" Target="media/image23.jpeg"/><Relationship Id="rId5" Type="http://schemas.openxmlformats.org/officeDocument/2006/relationships/header" Target="header1.xml"/><Relationship Id="rId49" Type="http://schemas.openxmlformats.org/officeDocument/2006/relationships/image" Target="media/image22.jpeg"/><Relationship Id="rId48" Type="http://schemas.openxmlformats.org/officeDocument/2006/relationships/image" Target="media/image21.jpe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png"/><Relationship Id="rId33" Type="http://schemas.openxmlformats.org/officeDocument/2006/relationships/image" Target="media/image6.jpe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7A2A0A-B53F-4F03-B489-2FAADA4150F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16033</Words>
  <Characters>19886</Characters>
  <Lines>178</Lines>
  <Paragraphs>50</Paragraphs>
  <TotalTime>21</TotalTime>
  <ScaleCrop>false</ScaleCrop>
  <LinksUpToDate>false</LinksUpToDate>
  <CharactersWithSpaces>20251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2021-06-08T05:52:00Z</dcterms:created>
  <dc:creator>2017</dc:creator>
  <cp:lastModifiedBy>123</cp:lastModifiedBy>
  <cp:lastPrinted>2021-09-11T07:56:00Z</cp:lastPrinted>
  <dcterms:modified xsi:type="dcterms:W3CDTF">2022-05-07T02:52:56Z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FC725220A6F74F6190BED6F5BCFC2C40</vt:lpwstr>
  </property>
  <property fmtid="{D5CDD505-2E9C-101B-9397-08002B2CF9AE}" pid="4" name="commondata">
    <vt:lpwstr>eyJoZGlkIjoiNDg0NmM0NzdiODg5YjBlMTI1NDU4ZTYyYjJiYzBjZGEifQ==</vt:lpwstr>
  </property>
</Properties>
</file>