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7D091">
      <w:pPr>
        <w:spacing w:line="520" w:lineRule="exact"/>
        <w:contextualSpacing/>
        <w:jc w:val="center"/>
        <w:rPr>
          <w:rFonts w:hint="eastAsia" w:ascii="宋体" w:hAnsi="宋体" w:eastAsia="宋体" w:cs="Times New Roman"/>
          <w:b/>
          <w:sz w:val="32"/>
          <w:szCs w:val="32"/>
        </w:rPr>
      </w:pPr>
      <w:r>
        <w:rPr>
          <w:rFonts w:hint="eastAsia" w:ascii="宋体" w:hAnsi="宋体" w:eastAsia="宋体" w:cs="Times New Roman"/>
          <w:b/>
          <w:sz w:val="32"/>
          <w:szCs w:val="32"/>
        </w:rPr>
        <w:t>浙江鑫可传动科技有限公司</w:t>
      </w:r>
    </w:p>
    <w:p w14:paraId="44EFE2A0">
      <w:pPr>
        <w:spacing w:line="520" w:lineRule="exact"/>
        <w:contextualSpacing/>
        <w:jc w:val="center"/>
        <w:rPr>
          <w:b/>
          <w:sz w:val="32"/>
          <w:szCs w:val="32"/>
        </w:rPr>
      </w:pPr>
      <w:r>
        <w:rPr>
          <w:rFonts w:hint="eastAsia" w:ascii="宋体" w:hAnsi="宋体" w:eastAsia="宋体" w:cs="Times New Roman"/>
          <w:b/>
          <w:sz w:val="32"/>
          <w:szCs w:val="32"/>
        </w:rPr>
        <w:t>年产20万套800V纯电电动车电驱总成技术改造项目</w:t>
      </w:r>
    </w:p>
    <w:p w14:paraId="3672D315">
      <w:pPr>
        <w:spacing w:line="520" w:lineRule="exact"/>
        <w:contextualSpacing/>
        <w:jc w:val="center"/>
        <w:rPr>
          <w:rFonts w:hint="eastAsia" w:ascii="宋体" w:hAnsi="宋体"/>
          <w:b/>
          <w:sz w:val="32"/>
          <w:szCs w:val="32"/>
        </w:rPr>
      </w:pPr>
      <w:r>
        <w:rPr>
          <w:rFonts w:hint="eastAsia" w:ascii="宋体" w:hAnsi="宋体"/>
          <w:b/>
          <w:sz w:val="32"/>
          <w:szCs w:val="32"/>
        </w:rPr>
        <w:t>竣工环境保护</w:t>
      </w:r>
      <w:r>
        <w:rPr>
          <w:rFonts w:ascii="宋体" w:hAnsi="宋体"/>
          <w:b/>
          <w:sz w:val="32"/>
          <w:szCs w:val="32"/>
        </w:rPr>
        <w:t>验收</w:t>
      </w:r>
      <w:r>
        <w:rPr>
          <w:rFonts w:hint="eastAsia" w:ascii="宋体" w:hAnsi="宋体"/>
          <w:b/>
          <w:sz w:val="32"/>
          <w:szCs w:val="32"/>
        </w:rPr>
        <w:t>专家组意见</w:t>
      </w:r>
    </w:p>
    <w:p w14:paraId="602C3FFD">
      <w:pPr>
        <w:spacing w:line="520" w:lineRule="exact"/>
        <w:ind w:firstLine="573"/>
        <w:contextualSpacing/>
        <w:rPr>
          <w:color w:val="FF0000"/>
          <w:sz w:val="28"/>
          <w:szCs w:val="28"/>
        </w:rPr>
      </w:pPr>
    </w:p>
    <w:p w14:paraId="6C689754">
      <w:pPr>
        <w:spacing w:line="520" w:lineRule="exact"/>
        <w:ind w:firstLine="560" w:firstLineChars="200"/>
        <w:contextualSpacing/>
        <w:jc w:val="both"/>
        <w:rPr>
          <w:rFonts w:hint="eastAsia"/>
          <w:sz w:val="28"/>
          <w:szCs w:val="28"/>
        </w:rPr>
      </w:pPr>
      <w:r>
        <w:rPr>
          <w:rFonts w:hint="eastAsia" w:ascii="宋体" w:hAnsi="宋体" w:eastAsia="宋体" w:cs="Times New Roman"/>
          <w:sz w:val="28"/>
          <w:szCs w:val="28"/>
        </w:rPr>
        <w:t>2025</w:t>
      </w:r>
      <w:r>
        <w:rPr>
          <w:rFonts w:ascii="宋体" w:hAnsi="宋体" w:eastAsia="宋体" w:cs="Times New Roman"/>
          <w:sz w:val="28"/>
          <w:szCs w:val="28"/>
        </w:rPr>
        <w:t>年</w:t>
      </w:r>
      <w:r>
        <w:rPr>
          <w:rFonts w:hint="eastAsia" w:ascii="宋体" w:hAnsi="宋体" w:eastAsia="宋体" w:cs="Times New Roman"/>
          <w:sz w:val="28"/>
          <w:szCs w:val="28"/>
        </w:rPr>
        <w:t>1</w:t>
      </w:r>
      <w:r>
        <w:rPr>
          <w:rFonts w:hint="eastAsia" w:ascii="宋体" w:hAnsi="宋体" w:eastAsia="宋体" w:cs="Times New Roman"/>
          <w:sz w:val="28"/>
          <w:szCs w:val="28"/>
          <w:lang w:val="en-US" w:eastAsia="zh-CN"/>
        </w:rPr>
        <w:t>2</w:t>
      </w:r>
      <w:r>
        <w:rPr>
          <w:rFonts w:ascii="宋体" w:hAnsi="宋体" w:eastAsia="宋体" w:cs="Times New Roman"/>
          <w:sz w:val="28"/>
          <w:szCs w:val="28"/>
        </w:rPr>
        <w:t>月</w:t>
      </w:r>
      <w:r>
        <w:rPr>
          <w:rFonts w:hint="eastAsia" w:ascii="宋体" w:hAnsi="宋体" w:eastAsia="宋体" w:cs="Times New Roman"/>
          <w:sz w:val="28"/>
          <w:szCs w:val="28"/>
          <w:lang w:val="en-US" w:eastAsia="zh-CN"/>
        </w:rPr>
        <w:t>22</w:t>
      </w:r>
      <w:r>
        <w:rPr>
          <w:rFonts w:ascii="宋体" w:hAnsi="宋体" w:eastAsia="宋体" w:cs="Times New Roman"/>
          <w:sz w:val="28"/>
          <w:szCs w:val="28"/>
        </w:rPr>
        <w:t>日，</w:t>
      </w:r>
      <w:r>
        <w:rPr>
          <w:rFonts w:hint="eastAsia" w:ascii="宋体" w:hAnsi="宋体" w:eastAsia="宋体" w:cs="Times New Roman"/>
          <w:sz w:val="28"/>
          <w:szCs w:val="28"/>
        </w:rPr>
        <w:t>浙江鑫可传动科技有限公司</w:t>
      </w:r>
      <w:r>
        <w:rPr>
          <w:rFonts w:ascii="宋体" w:hAnsi="宋体" w:eastAsia="宋体" w:cs="Times New Roman"/>
          <w:sz w:val="28"/>
          <w:szCs w:val="28"/>
        </w:rPr>
        <w:t>严格依照国家有关法律法规、《建设项目竣工环境保护验收技术指南 污染影响类》（生态环境部公告2018年第9号）、项目</w:t>
      </w:r>
      <w:r>
        <w:rPr>
          <w:rFonts w:hint="eastAsia" w:ascii="宋体" w:hAnsi="宋体" w:eastAsia="宋体" w:cs="Times New Roman"/>
          <w:sz w:val="28"/>
          <w:szCs w:val="28"/>
        </w:rPr>
        <w:t>环境影响登记表（区域环评+环境标准）及审批部门决定</w:t>
      </w:r>
      <w:r>
        <w:rPr>
          <w:rFonts w:ascii="宋体" w:hAnsi="宋体" w:eastAsia="宋体" w:cs="Times New Roman"/>
          <w:sz w:val="28"/>
          <w:szCs w:val="28"/>
        </w:rPr>
        <w:t>等要求，组织相关单位在企业厂区召开了“</w:t>
      </w:r>
      <w:r>
        <w:rPr>
          <w:rFonts w:hint="eastAsia" w:ascii="宋体" w:hAnsi="宋体" w:eastAsia="宋体" w:cs="Times New Roman"/>
          <w:sz w:val="28"/>
          <w:szCs w:val="28"/>
        </w:rPr>
        <w:t>浙江鑫可传动科技有限公司年产20万套800V纯电电动车电驱总成技术改造项目</w:t>
      </w:r>
      <w:r>
        <w:rPr>
          <w:rFonts w:ascii="宋体" w:hAnsi="宋体" w:eastAsia="宋体" w:cs="Times New Roman"/>
          <w:sz w:val="28"/>
          <w:szCs w:val="28"/>
        </w:rPr>
        <w:t>”</w:t>
      </w:r>
      <w:r>
        <w:rPr>
          <w:rFonts w:hint="eastAsia" w:ascii="宋体" w:hAnsi="宋体" w:eastAsia="宋体" w:cs="Times New Roman"/>
          <w:sz w:val="28"/>
          <w:szCs w:val="28"/>
        </w:rPr>
        <w:t>竣工</w:t>
      </w:r>
      <w:r>
        <w:rPr>
          <w:rFonts w:hint="eastAsia" w:ascii="宋体" w:hAnsi="宋体"/>
          <w:sz w:val="28"/>
          <w:szCs w:val="28"/>
        </w:rPr>
        <w:t>环境保护</w:t>
      </w:r>
      <w:r>
        <w:rPr>
          <w:rFonts w:ascii="宋体" w:hAnsi="宋体"/>
          <w:sz w:val="28"/>
          <w:szCs w:val="28"/>
        </w:rPr>
        <w:t>验收现场检查会。</w:t>
      </w:r>
      <w:r>
        <w:rPr>
          <w:sz w:val="28"/>
          <w:szCs w:val="28"/>
        </w:rPr>
        <w:t>参加会议的成员有建设单位</w:t>
      </w:r>
      <w:r>
        <w:rPr>
          <w:rFonts w:hint="eastAsia" w:ascii="宋体" w:hAnsi="宋体" w:eastAsia="宋体" w:cs="Times New Roman"/>
          <w:sz w:val="28"/>
          <w:szCs w:val="28"/>
        </w:rPr>
        <w:t>浙江鑫可传动科技有限公司</w:t>
      </w:r>
      <w:r>
        <w:rPr>
          <w:sz w:val="28"/>
          <w:szCs w:val="28"/>
        </w:rPr>
        <w:t>、验收监测</w:t>
      </w:r>
      <w:r>
        <w:rPr>
          <w:rFonts w:hint="eastAsia" w:ascii="宋体" w:hAnsi="宋体" w:eastAsia="宋体" w:cs="Times New Roman"/>
          <w:sz w:val="28"/>
          <w:szCs w:val="28"/>
        </w:rPr>
        <w:t>单位嘉兴中一检测研究院有限公司等单位代表，会议</w:t>
      </w:r>
      <w:r>
        <w:rPr>
          <w:sz w:val="28"/>
          <w:szCs w:val="28"/>
        </w:rPr>
        <w:t>同时邀请了三位专家（名单附后）。与会代表听取了建设单位</w:t>
      </w:r>
      <w:r>
        <w:rPr>
          <w:rFonts w:hint="eastAsia"/>
          <w:sz w:val="28"/>
          <w:szCs w:val="28"/>
        </w:rPr>
        <w:t>关于项目概况</w:t>
      </w:r>
      <w:r>
        <w:rPr>
          <w:sz w:val="28"/>
          <w:szCs w:val="28"/>
        </w:rPr>
        <w:t>、验收监测单位所做工作介绍，并现场检查了该项目主要环保设施运行情况。经认真讨论形成验收意见如下：</w:t>
      </w:r>
    </w:p>
    <w:p w14:paraId="463020FC">
      <w:pPr>
        <w:numPr>
          <w:ilvl w:val="0"/>
          <w:numId w:val="1"/>
        </w:numPr>
        <w:spacing w:line="520" w:lineRule="exact"/>
        <w:ind w:firstLine="562" w:firstLineChars="200"/>
        <w:contextualSpacing/>
        <w:outlineLvl w:val="0"/>
        <w:rPr>
          <w:b/>
          <w:sz w:val="28"/>
          <w:szCs w:val="28"/>
        </w:rPr>
      </w:pPr>
      <w:r>
        <w:rPr>
          <w:rFonts w:hAnsi="宋体"/>
          <w:b/>
          <w:sz w:val="28"/>
          <w:szCs w:val="28"/>
        </w:rPr>
        <w:t>工程建设基本情况</w:t>
      </w:r>
    </w:p>
    <w:p w14:paraId="4D5A36BB">
      <w:pPr>
        <w:pStyle w:val="9"/>
        <w:spacing w:before="0" w:beforeAutospacing="0" w:after="0" w:afterAutospacing="0" w:line="520" w:lineRule="exact"/>
        <w:ind w:firstLine="560" w:firstLineChars="200"/>
        <w:contextualSpacing/>
        <w:outlineLvl w:val="0"/>
        <w:rPr>
          <w:rFonts w:ascii="Times New Roman" w:hAnsi="Times New Roman" w:cs="Times New Roman"/>
          <w:sz w:val="28"/>
          <w:szCs w:val="28"/>
        </w:rPr>
      </w:pPr>
      <w:r>
        <w:rPr>
          <w:rFonts w:ascii="Times New Roman" w:cs="Times New Roman"/>
          <w:color w:val="000000"/>
          <w:sz w:val="28"/>
          <w:szCs w:val="28"/>
        </w:rPr>
        <w:t>（一）建设地点、规模、主要建设内容</w:t>
      </w:r>
    </w:p>
    <w:p w14:paraId="0EFDDD05">
      <w:pPr>
        <w:spacing w:line="520" w:lineRule="exact"/>
        <w:ind w:firstLine="560" w:firstLineChars="200"/>
        <w:contextualSpacing/>
        <w:outlineLvl w:val="0"/>
        <w:rPr>
          <w:rFonts w:hint="eastAsia" w:ascii="Times New Roman" w:hAnsi="宋体" w:eastAsia="宋体" w:cs="Times New Roman"/>
          <w:sz w:val="28"/>
          <w:szCs w:val="28"/>
          <w:lang w:bidi="zh-CN"/>
        </w:rPr>
      </w:pPr>
      <w:r>
        <w:rPr>
          <w:rFonts w:hint="eastAsia" w:ascii="Times New Roman" w:hAnsi="宋体" w:eastAsia="宋体" w:cs="Times New Roman"/>
          <w:sz w:val="28"/>
          <w:szCs w:val="28"/>
          <w:lang w:bidi="zh-CN"/>
        </w:rPr>
        <w:t>本项目建设单位为浙江鑫可传动科技有限公司，建设地点为桐乡经济开发区高新东一路176号，设计20万套800V纯电电动车电驱总成的生产能力，目前项目实际年产20万套800V纯电电动车电驱总成。</w:t>
      </w:r>
    </w:p>
    <w:p w14:paraId="1F493C6D">
      <w:pPr>
        <w:spacing w:line="520" w:lineRule="exact"/>
        <w:ind w:firstLine="560" w:firstLineChars="200"/>
        <w:contextualSpacing/>
        <w:outlineLvl w:val="0"/>
        <w:rPr>
          <w:rFonts w:hAnsi="宋体"/>
          <w:sz w:val="28"/>
          <w:szCs w:val="28"/>
        </w:rPr>
      </w:pPr>
      <w:r>
        <w:rPr>
          <w:rFonts w:hAnsi="宋体"/>
          <w:sz w:val="28"/>
          <w:szCs w:val="28"/>
        </w:rPr>
        <w:t>（二）建设过程及环保审批情况</w:t>
      </w:r>
    </w:p>
    <w:p w14:paraId="29C0A90E">
      <w:pPr>
        <w:spacing w:line="520" w:lineRule="exact"/>
        <w:ind w:firstLine="560" w:firstLineChars="200"/>
        <w:contextualSpacing/>
        <w:outlineLvl w:val="0"/>
        <w:rPr>
          <w:rFonts w:hint="eastAsia" w:ascii="Times New Roman" w:hAnsi="宋体" w:eastAsia="宋体" w:cs="Times New Roman"/>
          <w:sz w:val="28"/>
          <w:szCs w:val="28"/>
          <w:lang w:bidi="zh-CN"/>
        </w:rPr>
      </w:pPr>
      <w:r>
        <w:rPr>
          <w:rFonts w:hAnsi="宋体"/>
          <w:sz w:val="28"/>
          <w:szCs w:val="28"/>
          <w:lang w:bidi="zh-CN"/>
        </w:rPr>
        <w:t>2</w:t>
      </w:r>
      <w:r>
        <w:rPr>
          <w:rFonts w:hint="eastAsia" w:ascii="Times New Roman" w:hAnsi="宋体" w:eastAsia="宋体" w:cs="Times New Roman"/>
          <w:sz w:val="28"/>
          <w:szCs w:val="28"/>
          <w:lang w:bidi="zh-CN"/>
        </w:rPr>
        <w:t>02</w:t>
      </w:r>
      <w:r>
        <w:rPr>
          <w:rFonts w:hint="eastAsia" w:ascii="Times New Roman" w:hAnsi="宋体" w:eastAsia="宋体" w:cs="Times New Roman"/>
          <w:sz w:val="28"/>
          <w:szCs w:val="28"/>
          <w:lang w:val="en-US" w:bidi="zh-CN"/>
        </w:rPr>
        <w:t>4</w:t>
      </w:r>
      <w:r>
        <w:rPr>
          <w:rFonts w:hint="eastAsia" w:ascii="Times New Roman" w:hAnsi="宋体" w:eastAsia="宋体" w:cs="Times New Roman"/>
          <w:sz w:val="28"/>
          <w:szCs w:val="28"/>
          <w:lang w:bidi="zh-CN"/>
        </w:rPr>
        <w:t>年</w:t>
      </w:r>
      <w:r>
        <w:rPr>
          <w:rFonts w:hint="eastAsia" w:ascii="Times New Roman" w:hAnsi="宋体" w:eastAsia="宋体" w:cs="Times New Roman"/>
          <w:sz w:val="28"/>
          <w:szCs w:val="28"/>
          <w:lang w:val="en-US" w:bidi="zh-CN"/>
        </w:rPr>
        <w:t>11</w:t>
      </w:r>
      <w:r>
        <w:rPr>
          <w:rFonts w:hint="eastAsia" w:ascii="Times New Roman" w:hAnsi="宋体" w:eastAsia="宋体" w:cs="Times New Roman"/>
          <w:sz w:val="28"/>
          <w:szCs w:val="28"/>
          <w:lang w:bidi="zh-CN"/>
        </w:rPr>
        <w:t>月，公司委托嘉兴市秀清环境技术有限公司编制了《浙江鑫可传动科技有限公司年产20万套800V纯电电动车电驱总成技术改造项目环境影响登记表（区域环评+环境标准）》。嘉兴市生态环境局桐乡分局于2024年11月29日以“嘉环桐备[2024]67号”对该项目完成备案。本项目开工时间为2024年12月，于2025年10月完成项目主体工程及配套环保设备工程的建设并投入试生产，目前环保手续齐全，公司</w:t>
      </w:r>
      <w:r>
        <w:rPr>
          <w:rFonts w:hint="eastAsia" w:ascii="Times New Roman" w:hAnsi="宋体" w:eastAsia="宋体" w:cs="Times New Roman"/>
          <w:sz w:val="28"/>
          <w:szCs w:val="28"/>
          <w:lang w:val="en-US" w:bidi="zh-CN"/>
        </w:rPr>
        <w:t>已</w:t>
      </w:r>
      <w:r>
        <w:rPr>
          <w:rFonts w:hint="eastAsia" w:ascii="Times New Roman" w:hAnsi="宋体" w:eastAsia="宋体" w:cs="Times New Roman"/>
          <w:sz w:val="28"/>
          <w:szCs w:val="28"/>
          <w:lang w:bidi="zh-CN"/>
        </w:rPr>
        <w:t>填报排污登记表，登记编号为：91330483MA29HHT612001Y，主要生产设施和环保设施运行正常，已具备环保设施竣工验收条件。</w:t>
      </w:r>
    </w:p>
    <w:p w14:paraId="5544130C">
      <w:pPr>
        <w:spacing w:line="520" w:lineRule="exact"/>
        <w:ind w:firstLine="560" w:firstLineChars="200"/>
        <w:contextualSpacing/>
        <w:outlineLvl w:val="0"/>
        <w:rPr>
          <w:sz w:val="28"/>
          <w:szCs w:val="28"/>
        </w:rPr>
      </w:pPr>
      <w:r>
        <w:rPr>
          <w:rFonts w:hAnsi="宋体"/>
          <w:sz w:val="28"/>
          <w:szCs w:val="28"/>
        </w:rPr>
        <w:t>（三）投资情况</w:t>
      </w:r>
    </w:p>
    <w:p w14:paraId="2707560F">
      <w:pPr>
        <w:spacing w:line="520" w:lineRule="exact"/>
        <w:ind w:firstLine="560" w:firstLineChars="200"/>
        <w:contextualSpacing/>
        <w:outlineLvl w:val="0"/>
        <w:rPr>
          <w:rFonts w:hint="eastAsia" w:ascii="Times New Roman" w:hAnsi="宋体" w:eastAsia="宋体" w:cs="Times New Roman"/>
          <w:sz w:val="28"/>
          <w:szCs w:val="28"/>
          <w:lang w:bidi="zh-CN"/>
        </w:rPr>
      </w:pPr>
      <w:r>
        <w:rPr>
          <w:rFonts w:hint="eastAsia" w:ascii="Times New Roman" w:hAnsi="宋体" w:eastAsia="宋体" w:cs="Times New Roman"/>
          <w:sz w:val="28"/>
          <w:szCs w:val="28"/>
          <w:lang w:bidi="zh-CN"/>
        </w:rPr>
        <w:t>项目实际投资6200万元，其中环保投资10万元（环保投资占比为0.16%）。</w:t>
      </w:r>
    </w:p>
    <w:p w14:paraId="2B725425">
      <w:pPr>
        <w:spacing w:line="520" w:lineRule="exact"/>
        <w:ind w:firstLine="560" w:firstLineChars="200"/>
        <w:contextualSpacing/>
        <w:outlineLvl w:val="0"/>
        <w:rPr>
          <w:sz w:val="28"/>
          <w:szCs w:val="28"/>
        </w:rPr>
      </w:pPr>
      <w:r>
        <w:rPr>
          <w:rFonts w:hAnsi="宋体"/>
          <w:sz w:val="28"/>
          <w:szCs w:val="28"/>
        </w:rPr>
        <w:t>（四）验收范围</w:t>
      </w:r>
    </w:p>
    <w:p w14:paraId="75813CB0">
      <w:pPr>
        <w:spacing w:line="520" w:lineRule="exact"/>
        <w:ind w:firstLine="560" w:firstLineChars="200"/>
        <w:contextualSpacing/>
        <w:rPr>
          <w:rFonts w:hint="eastAsia" w:hAnsi="宋体"/>
          <w:sz w:val="28"/>
          <w:szCs w:val="28"/>
        </w:rPr>
      </w:pPr>
      <w:r>
        <w:rPr>
          <w:rFonts w:hAnsi="宋体"/>
          <w:sz w:val="28"/>
          <w:szCs w:val="28"/>
        </w:rPr>
        <w:t>本次验收范围为《</w:t>
      </w:r>
      <w:r>
        <w:rPr>
          <w:rFonts w:hint="eastAsia" w:ascii="Times New Roman" w:hAnsi="宋体" w:eastAsia="宋体" w:cs="Times New Roman"/>
          <w:sz w:val="28"/>
          <w:szCs w:val="28"/>
          <w:lang w:bidi="zh-CN"/>
        </w:rPr>
        <w:t>浙江鑫可传动科技有限公司年产20万套800V纯电电动车电驱总成技术改造项目环境影响登记表（区域环评+环境标准）</w:t>
      </w:r>
      <w:r>
        <w:rPr>
          <w:rFonts w:hAnsi="宋体"/>
          <w:sz w:val="28"/>
          <w:szCs w:val="28"/>
        </w:rPr>
        <w:t>》</w:t>
      </w:r>
      <w:r>
        <w:rPr>
          <w:rFonts w:hint="eastAsia" w:hAnsi="宋体"/>
          <w:sz w:val="28"/>
          <w:szCs w:val="28"/>
        </w:rPr>
        <w:t>所</w:t>
      </w:r>
      <w:r>
        <w:rPr>
          <w:rFonts w:hAnsi="宋体"/>
          <w:sz w:val="28"/>
          <w:szCs w:val="28"/>
        </w:rPr>
        <w:t>涉及的环保设施。</w:t>
      </w:r>
    </w:p>
    <w:p w14:paraId="061A74B9">
      <w:pPr>
        <w:spacing w:line="520" w:lineRule="exact"/>
        <w:ind w:firstLine="562" w:firstLineChars="200"/>
        <w:contextualSpacing/>
        <w:outlineLvl w:val="0"/>
        <w:rPr>
          <w:rFonts w:hAnsi="宋体"/>
          <w:b/>
          <w:sz w:val="28"/>
          <w:szCs w:val="28"/>
        </w:rPr>
      </w:pPr>
      <w:r>
        <w:rPr>
          <w:rFonts w:hAnsi="宋体"/>
          <w:b/>
          <w:sz w:val="28"/>
          <w:szCs w:val="28"/>
        </w:rPr>
        <w:t>二、工程变更情况</w:t>
      </w:r>
    </w:p>
    <w:p w14:paraId="6A7F586C">
      <w:pPr>
        <w:spacing w:line="520" w:lineRule="exact"/>
        <w:ind w:firstLine="560" w:firstLineChars="200"/>
        <w:contextualSpacing/>
        <w:rPr>
          <w:rFonts w:hAnsi="宋体"/>
          <w:color w:val="auto"/>
          <w:kern w:val="0"/>
          <w:sz w:val="28"/>
          <w:szCs w:val="28"/>
        </w:rPr>
      </w:pPr>
      <w:bookmarkStart w:id="0" w:name="_Hlk169775479"/>
      <w:r>
        <w:rPr>
          <w:rFonts w:hAnsi="宋体"/>
          <w:color w:val="auto"/>
          <w:sz w:val="28"/>
          <w:szCs w:val="28"/>
        </w:rPr>
        <w:t>经核查</w:t>
      </w:r>
      <w:r>
        <w:rPr>
          <w:rFonts w:hint="eastAsia" w:hAnsi="宋体"/>
          <w:color w:val="auto"/>
          <w:sz w:val="28"/>
          <w:szCs w:val="28"/>
        </w:rPr>
        <w:t>，</w:t>
      </w:r>
      <w:r>
        <w:rPr>
          <w:rFonts w:hAnsi="宋体"/>
          <w:color w:val="auto"/>
          <w:kern w:val="0"/>
          <w:sz w:val="28"/>
          <w:szCs w:val="28"/>
        </w:rPr>
        <w:t>本项目建设性质、规模、地点、生产工艺和环境保护措施等五个方面均未构成重大变动。</w:t>
      </w:r>
    </w:p>
    <w:bookmarkEnd w:id="0"/>
    <w:p w14:paraId="33743900">
      <w:pPr>
        <w:spacing w:line="520" w:lineRule="exact"/>
        <w:ind w:firstLine="562" w:firstLineChars="200"/>
        <w:contextualSpacing/>
        <w:outlineLvl w:val="0"/>
        <w:rPr>
          <w:b/>
          <w:sz w:val="28"/>
          <w:szCs w:val="28"/>
        </w:rPr>
      </w:pPr>
      <w:r>
        <w:rPr>
          <w:rFonts w:hAnsi="宋体"/>
          <w:b/>
          <w:sz w:val="28"/>
          <w:szCs w:val="28"/>
        </w:rPr>
        <w:t>三、环境保护设施建设情况</w:t>
      </w:r>
    </w:p>
    <w:p w14:paraId="6BC4AEFF">
      <w:pPr>
        <w:spacing w:line="520" w:lineRule="exact"/>
        <w:ind w:firstLine="560" w:firstLineChars="200"/>
        <w:contextualSpacing/>
        <w:outlineLvl w:val="1"/>
        <w:rPr>
          <w:sz w:val="28"/>
          <w:szCs w:val="28"/>
        </w:rPr>
      </w:pPr>
      <w:r>
        <w:rPr>
          <w:rFonts w:hAnsi="宋体"/>
          <w:sz w:val="28"/>
          <w:szCs w:val="28"/>
        </w:rPr>
        <w:t>（一）废水</w:t>
      </w:r>
    </w:p>
    <w:p w14:paraId="6872A148">
      <w:pPr>
        <w:spacing w:line="520" w:lineRule="exact"/>
        <w:ind w:firstLine="560" w:firstLineChars="200"/>
        <w:contextualSpacing/>
        <w:rPr>
          <w:rFonts w:ascii="Times New Roman" w:hAnsi="宋体" w:eastAsia="宋体" w:cs="Times New Roman"/>
          <w:color w:val="auto"/>
          <w:kern w:val="0"/>
          <w:sz w:val="28"/>
          <w:szCs w:val="28"/>
        </w:rPr>
      </w:pPr>
      <w:r>
        <w:rPr>
          <w:rFonts w:hint="eastAsia" w:ascii="Times New Roman" w:hAnsi="宋体" w:eastAsia="宋体" w:cs="Times New Roman"/>
          <w:color w:val="auto"/>
          <w:kern w:val="0"/>
          <w:sz w:val="28"/>
          <w:szCs w:val="28"/>
        </w:rPr>
        <w:t>本项目生产过程不涉及用水，不产生生产废水，排放废水仅为职工生活污水。</w:t>
      </w:r>
    </w:p>
    <w:p w14:paraId="0EEC4C28">
      <w:pPr>
        <w:spacing w:line="520" w:lineRule="exact"/>
        <w:ind w:firstLine="560" w:firstLineChars="200"/>
        <w:contextualSpacing/>
        <w:rPr>
          <w:rFonts w:ascii="Times New Roman" w:hAnsi="宋体" w:eastAsia="宋体" w:cs="Times New Roman"/>
          <w:color w:val="auto"/>
          <w:kern w:val="0"/>
          <w:sz w:val="28"/>
          <w:szCs w:val="28"/>
        </w:rPr>
      </w:pPr>
      <w:r>
        <w:rPr>
          <w:rFonts w:hint="eastAsia" w:ascii="Times New Roman" w:hAnsi="宋体" w:eastAsia="宋体" w:cs="Times New Roman"/>
          <w:color w:val="auto"/>
          <w:kern w:val="0"/>
          <w:sz w:val="28"/>
          <w:szCs w:val="28"/>
        </w:rPr>
        <w:t>公司</w:t>
      </w:r>
      <w:r>
        <w:rPr>
          <w:rFonts w:ascii="Times New Roman" w:hAnsi="宋体" w:eastAsia="宋体" w:cs="Times New Roman"/>
          <w:color w:val="auto"/>
          <w:kern w:val="0"/>
          <w:sz w:val="28"/>
          <w:szCs w:val="28"/>
        </w:rPr>
        <w:t>实行雨污分流</w:t>
      </w:r>
      <w:r>
        <w:rPr>
          <w:rFonts w:hint="eastAsia" w:ascii="Times New Roman" w:hAnsi="宋体" w:eastAsia="宋体" w:cs="Times New Roman"/>
          <w:color w:val="auto"/>
          <w:kern w:val="0"/>
          <w:sz w:val="28"/>
          <w:szCs w:val="28"/>
        </w:rPr>
        <w:t>；雨水经厂区雨水管网收集排入附近市政雨水管网。生活污水经化粪池、隔油池预处理后与公司现有项目外排废水一同达标纳入市政污水管网，最终经桐乡申和水务有限公司集中处理后排放钱塘江。</w:t>
      </w:r>
    </w:p>
    <w:p w14:paraId="632808BF">
      <w:pPr>
        <w:spacing w:line="520" w:lineRule="exact"/>
        <w:ind w:firstLine="560" w:firstLineChars="200"/>
        <w:contextualSpacing/>
        <w:rPr>
          <w:rFonts w:hAnsi="宋体"/>
          <w:sz w:val="28"/>
          <w:szCs w:val="28"/>
        </w:rPr>
      </w:pPr>
      <w:r>
        <w:rPr>
          <w:rFonts w:hAnsi="宋体"/>
          <w:sz w:val="28"/>
          <w:szCs w:val="28"/>
        </w:rPr>
        <w:t>（二）废气</w:t>
      </w:r>
    </w:p>
    <w:p w14:paraId="0E027C39">
      <w:pPr>
        <w:spacing w:line="520" w:lineRule="exact"/>
        <w:ind w:firstLine="560" w:firstLineChars="200"/>
        <w:contextualSpacing/>
        <w:rPr>
          <w:rFonts w:hint="eastAsia" w:ascii="Times New Roman" w:hAnsi="宋体" w:eastAsia="宋体" w:cs="Times New Roman"/>
          <w:color w:val="auto"/>
          <w:kern w:val="0"/>
          <w:sz w:val="28"/>
          <w:szCs w:val="28"/>
        </w:rPr>
      </w:pPr>
      <w:bookmarkStart w:id="1" w:name="OLE_LINK26"/>
      <w:r>
        <w:rPr>
          <w:rFonts w:hint="eastAsia" w:ascii="Times New Roman" w:hAnsi="宋体" w:eastAsia="宋体" w:cs="Times New Roman"/>
          <w:color w:val="auto"/>
          <w:kern w:val="0"/>
          <w:sz w:val="28"/>
          <w:szCs w:val="28"/>
        </w:rPr>
        <w:t>本项目生产过程中产生的废气主要为涂胶废气、激光打刻烟尘以及职工食堂油烟废气。</w:t>
      </w:r>
    </w:p>
    <w:p w14:paraId="594A93F5">
      <w:pPr>
        <w:spacing w:line="520" w:lineRule="exact"/>
        <w:ind w:firstLine="560" w:firstLineChars="200"/>
        <w:contextualSpacing/>
        <w:rPr>
          <w:rFonts w:hint="eastAsia" w:ascii="Times New Roman" w:hAnsi="宋体" w:eastAsia="宋体" w:cs="Times New Roman"/>
          <w:color w:val="auto"/>
          <w:kern w:val="0"/>
          <w:sz w:val="28"/>
          <w:szCs w:val="28"/>
          <w:lang w:val="en-US" w:eastAsia="zh-CN"/>
        </w:rPr>
      </w:pPr>
      <w:r>
        <w:rPr>
          <w:rFonts w:hint="eastAsia" w:ascii="Times New Roman" w:hAnsi="宋体" w:eastAsia="宋体" w:cs="Times New Roman"/>
          <w:color w:val="auto"/>
          <w:kern w:val="0"/>
          <w:sz w:val="28"/>
          <w:szCs w:val="28"/>
        </w:rPr>
        <w:t>涂胶废气、激光打刻烟尘污染物产生量较少，通过加强车间通风减小对周围环境的影响</w:t>
      </w:r>
      <w:r>
        <w:rPr>
          <w:rFonts w:hint="eastAsia" w:ascii="Times New Roman" w:hAnsi="宋体" w:eastAsia="宋体" w:cs="Times New Roman"/>
          <w:color w:val="auto"/>
          <w:kern w:val="0"/>
          <w:sz w:val="28"/>
          <w:szCs w:val="28"/>
          <w:lang w:eastAsia="zh-CN"/>
        </w:rPr>
        <w:t>；</w:t>
      </w:r>
      <w:r>
        <w:rPr>
          <w:rFonts w:hint="eastAsia" w:ascii="Times New Roman" w:hAnsi="宋体" w:eastAsia="宋体" w:cs="Times New Roman"/>
          <w:color w:val="auto"/>
          <w:kern w:val="0"/>
          <w:sz w:val="28"/>
          <w:szCs w:val="28"/>
        </w:rPr>
        <w:t>食堂油烟废气经高效油烟净化装置进行净化处理，然后通过厨房所在房屋屋顶高空排放</w:t>
      </w:r>
      <w:r>
        <w:rPr>
          <w:rFonts w:hint="eastAsia" w:ascii="Times New Roman" w:hAnsi="宋体" w:eastAsia="宋体" w:cs="Times New Roman"/>
          <w:color w:val="auto"/>
          <w:kern w:val="0"/>
          <w:sz w:val="28"/>
          <w:szCs w:val="28"/>
          <w:lang w:eastAsia="zh-CN"/>
        </w:rPr>
        <w:t>。</w:t>
      </w:r>
    </w:p>
    <w:bookmarkEnd w:id="1"/>
    <w:p w14:paraId="347D18C5">
      <w:pPr>
        <w:spacing w:line="520" w:lineRule="exact"/>
        <w:ind w:firstLine="560" w:firstLineChars="200"/>
        <w:contextualSpacing/>
        <w:rPr>
          <w:sz w:val="28"/>
          <w:szCs w:val="28"/>
        </w:rPr>
      </w:pPr>
      <w:r>
        <w:rPr>
          <w:rFonts w:hAnsi="宋体"/>
          <w:sz w:val="28"/>
          <w:szCs w:val="28"/>
        </w:rPr>
        <w:t>（三）噪声</w:t>
      </w:r>
    </w:p>
    <w:p w14:paraId="741D6FE9">
      <w:pPr>
        <w:spacing w:line="520" w:lineRule="exact"/>
        <w:ind w:firstLine="560" w:firstLineChars="200"/>
        <w:contextualSpacing/>
        <w:outlineLvl w:val="1"/>
        <w:rPr>
          <w:rFonts w:hint="eastAsia"/>
          <w:kern w:val="0"/>
          <w:sz w:val="28"/>
          <w:szCs w:val="28"/>
        </w:rPr>
      </w:pPr>
      <w:r>
        <w:rPr>
          <w:rFonts w:hint="eastAsia"/>
          <w:kern w:val="0"/>
          <w:sz w:val="28"/>
          <w:szCs w:val="28"/>
        </w:rPr>
        <w:t>项目</w:t>
      </w:r>
      <w:r>
        <w:rPr>
          <w:kern w:val="0"/>
          <w:sz w:val="28"/>
          <w:szCs w:val="28"/>
        </w:rPr>
        <w:t>选用低噪声设备；厂区内合理布局，高噪声设备设置在远离厂界的位置；加强生产车间隔声</w:t>
      </w:r>
      <w:r>
        <w:rPr>
          <w:rFonts w:hint="eastAsia"/>
          <w:kern w:val="0"/>
          <w:sz w:val="28"/>
          <w:szCs w:val="28"/>
        </w:rPr>
        <w:t>，正常生产时关闭车间门窗</w:t>
      </w:r>
      <w:r>
        <w:rPr>
          <w:kern w:val="0"/>
          <w:sz w:val="28"/>
          <w:szCs w:val="28"/>
        </w:rPr>
        <w:t>；加强设备维护保养</w:t>
      </w:r>
      <w:r>
        <w:rPr>
          <w:rFonts w:hint="eastAsia"/>
          <w:kern w:val="0"/>
          <w:sz w:val="28"/>
          <w:szCs w:val="28"/>
        </w:rPr>
        <w:t>；加强厂区绿化工作</w:t>
      </w:r>
      <w:r>
        <w:rPr>
          <w:kern w:val="0"/>
          <w:sz w:val="28"/>
          <w:szCs w:val="28"/>
        </w:rPr>
        <w:t>。</w:t>
      </w:r>
    </w:p>
    <w:p w14:paraId="649EF0AB">
      <w:pPr>
        <w:spacing w:line="520" w:lineRule="exact"/>
        <w:ind w:firstLine="560" w:firstLineChars="200"/>
        <w:contextualSpacing/>
        <w:outlineLvl w:val="1"/>
        <w:rPr>
          <w:rFonts w:hint="eastAsia" w:ascii="Times New Roman" w:hAnsi="Times New Roman" w:eastAsia="宋体" w:cs="Times New Roman"/>
          <w:kern w:val="0"/>
          <w:sz w:val="28"/>
          <w:szCs w:val="28"/>
        </w:rPr>
      </w:pPr>
      <w:r>
        <w:rPr>
          <w:rFonts w:hAnsi="宋体"/>
          <w:sz w:val="28"/>
          <w:szCs w:val="28"/>
        </w:rPr>
        <w:t>（四）固废</w:t>
      </w:r>
    </w:p>
    <w:p w14:paraId="649D8349">
      <w:pPr>
        <w:spacing w:line="520" w:lineRule="exact"/>
        <w:ind w:firstLine="560" w:firstLineChars="200"/>
        <w:contextualSpacing/>
        <w:outlineLvl w:val="1"/>
        <w:rPr>
          <w:rFonts w:hint="eastAsia" w:ascii="Times New Roman" w:hAnsi="Times New Roman" w:eastAsia="宋体" w:cs="Times New Roman"/>
          <w:kern w:val="0"/>
          <w:sz w:val="28"/>
          <w:szCs w:val="28"/>
        </w:rPr>
      </w:pPr>
      <w:bookmarkStart w:id="2" w:name="_Hlk94087628"/>
      <w:r>
        <w:rPr>
          <w:rFonts w:hint="eastAsia" w:ascii="Times New Roman" w:hAnsi="Times New Roman" w:eastAsia="宋体" w:cs="Times New Roman"/>
          <w:kern w:val="0"/>
          <w:sz w:val="28"/>
          <w:szCs w:val="28"/>
          <w:lang w:val="en-US" w:eastAsia="zh-CN"/>
        </w:rPr>
        <w:t>本项目产生的</w:t>
      </w:r>
      <w:r>
        <w:rPr>
          <w:rFonts w:hint="eastAsia" w:ascii="Times New Roman" w:hAnsi="Times New Roman" w:eastAsia="宋体" w:cs="Times New Roman"/>
          <w:kern w:val="0"/>
          <w:sz w:val="28"/>
          <w:szCs w:val="28"/>
        </w:rPr>
        <w:t>废包装桶、废机油、废机油桶、含油手套抹布属于危险废物，在厂内设置危废暂存间进行厂内暂存，委托有资质危废单位进行安全处置；一般废包装材料收集后外售综合利用；生活垃圾委托当地环卫部门统一清运。</w:t>
      </w:r>
    </w:p>
    <w:bookmarkEnd w:id="2"/>
    <w:p w14:paraId="60CE1FE5">
      <w:pPr>
        <w:spacing w:line="520" w:lineRule="exact"/>
        <w:ind w:firstLine="560" w:firstLineChars="200"/>
        <w:contextualSpacing/>
        <w:outlineLvl w:val="1"/>
        <w:rPr>
          <w:sz w:val="28"/>
          <w:szCs w:val="28"/>
        </w:rPr>
      </w:pPr>
      <w:r>
        <w:rPr>
          <w:rFonts w:hAnsi="宋体"/>
          <w:sz w:val="28"/>
          <w:szCs w:val="28"/>
        </w:rPr>
        <w:t>（五）其他环境保护设施</w:t>
      </w:r>
    </w:p>
    <w:p w14:paraId="20AE49FC">
      <w:pPr>
        <w:spacing w:line="520" w:lineRule="exact"/>
        <w:ind w:firstLine="560" w:firstLineChars="200"/>
        <w:contextualSpacing/>
        <w:outlineLvl w:val="1"/>
        <w:rPr>
          <w:rFonts w:hAnsi="宋体"/>
          <w:sz w:val="28"/>
          <w:szCs w:val="28"/>
        </w:rPr>
      </w:pPr>
      <w:r>
        <w:rPr>
          <w:sz w:val="28"/>
          <w:szCs w:val="28"/>
        </w:rPr>
        <w:t>1</w:t>
      </w:r>
      <w:r>
        <w:rPr>
          <w:rFonts w:hAnsi="宋体"/>
          <w:sz w:val="28"/>
          <w:szCs w:val="28"/>
        </w:rPr>
        <w:t>、环境风险防范设施</w:t>
      </w:r>
    </w:p>
    <w:p w14:paraId="5C60CB20">
      <w:pPr>
        <w:widowControl/>
        <w:ind w:firstLine="560"/>
        <w:rPr>
          <w:rFonts w:hint="eastAsia"/>
        </w:rPr>
      </w:pPr>
      <w:r>
        <w:rPr>
          <w:rFonts w:hint="default" w:ascii="Times New Roman" w:hAnsi="Times New Roman" w:eastAsia="宋体" w:cs="Times New Roman"/>
          <w:kern w:val="2"/>
          <w:sz w:val="28"/>
          <w:szCs w:val="28"/>
          <w:lang w:val="en-US" w:eastAsia="zh-CN" w:bidi="ar-SA"/>
        </w:rPr>
        <w:t>企业已按照要求建设危废仓库，建立环境</w:t>
      </w:r>
      <w:r>
        <w:rPr>
          <w:rFonts w:hint="eastAsia" w:ascii="Times New Roman" w:hAnsi="Times New Roman" w:eastAsia="宋体" w:cs="Times New Roman"/>
          <w:kern w:val="2"/>
          <w:sz w:val="28"/>
          <w:szCs w:val="28"/>
          <w:lang w:val="en-US" w:eastAsia="zh-CN" w:bidi="ar-SA"/>
        </w:rPr>
        <w:t>应急</w:t>
      </w:r>
      <w:r>
        <w:rPr>
          <w:rFonts w:hint="default" w:ascii="Times New Roman" w:hAnsi="Times New Roman" w:eastAsia="宋体" w:cs="Times New Roman"/>
          <w:kern w:val="2"/>
          <w:sz w:val="28"/>
          <w:szCs w:val="28"/>
          <w:lang w:val="en-US" w:eastAsia="zh-CN" w:bidi="ar-SA"/>
        </w:rPr>
        <w:t>管理机构。</w:t>
      </w:r>
    </w:p>
    <w:p w14:paraId="79DFE56F">
      <w:pPr>
        <w:spacing w:line="520" w:lineRule="exact"/>
        <w:ind w:left="560"/>
        <w:contextualSpacing/>
        <w:rPr>
          <w:sz w:val="28"/>
          <w:szCs w:val="28"/>
        </w:rPr>
      </w:pPr>
      <w:r>
        <w:rPr>
          <w:sz w:val="28"/>
          <w:szCs w:val="28"/>
        </w:rPr>
        <w:t>2</w:t>
      </w:r>
      <w:r>
        <w:rPr>
          <w:rFonts w:hAnsi="宋体"/>
          <w:sz w:val="28"/>
          <w:szCs w:val="28"/>
        </w:rPr>
        <w:t>、在线监测装置</w:t>
      </w:r>
    </w:p>
    <w:p w14:paraId="00CE1230">
      <w:pPr>
        <w:spacing w:line="520" w:lineRule="exact"/>
        <w:ind w:firstLine="560" w:firstLineChars="200"/>
        <w:contextualSpacing/>
        <w:rPr>
          <w:rFonts w:hint="eastAsia" w:hAnsi="宋体"/>
          <w:sz w:val="28"/>
          <w:szCs w:val="28"/>
        </w:rPr>
      </w:pPr>
      <w:r>
        <w:rPr>
          <w:rFonts w:hAnsi="宋体"/>
          <w:sz w:val="28"/>
          <w:szCs w:val="28"/>
        </w:rPr>
        <w:t>目前</w:t>
      </w:r>
      <w:r>
        <w:rPr>
          <w:rFonts w:hint="eastAsia" w:hAnsi="宋体"/>
          <w:sz w:val="28"/>
          <w:szCs w:val="28"/>
        </w:rPr>
        <w:t>公司</w:t>
      </w:r>
      <w:r>
        <w:rPr>
          <w:rFonts w:hAnsi="宋体"/>
          <w:sz w:val="28"/>
          <w:szCs w:val="28"/>
        </w:rPr>
        <w:t>未安装</w:t>
      </w:r>
      <w:r>
        <w:rPr>
          <w:rFonts w:hint="eastAsia" w:hAnsi="宋体"/>
          <w:sz w:val="28"/>
          <w:szCs w:val="28"/>
        </w:rPr>
        <w:t>在线监测设施（无要求）</w:t>
      </w:r>
      <w:r>
        <w:rPr>
          <w:rFonts w:hAnsi="宋体"/>
          <w:sz w:val="28"/>
          <w:szCs w:val="28"/>
        </w:rPr>
        <w:t>。</w:t>
      </w:r>
    </w:p>
    <w:p w14:paraId="77229F34">
      <w:pPr>
        <w:spacing w:line="520" w:lineRule="exact"/>
        <w:ind w:left="560"/>
        <w:contextualSpacing/>
        <w:rPr>
          <w:sz w:val="28"/>
          <w:szCs w:val="28"/>
        </w:rPr>
      </w:pPr>
      <w:r>
        <w:rPr>
          <w:sz w:val="28"/>
          <w:szCs w:val="28"/>
        </w:rPr>
        <w:t>3</w:t>
      </w:r>
      <w:r>
        <w:rPr>
          <w:rFonts w:hAnsi="宋体"/>
          <w:sz w:val="28"/>
          <w:szCs w:val="28"/>
        </w:rPr>
        <w:t>、其他设施</w:t>
      </w:r>
    </w:p>
    <w:p w14:paraId="5D5B9D38">
      <w:pPr>
        <w:spacing w:line="520" w:lineRule="exact"/>
        <w:ind w:firstLine="560" w:firstLineChars="200"/>
        <w:contextualSpacing/>
        <w:rPr>
          <w:rFonts w:hint="eastAsia" w:hAnsi="宋体"/>
          <w:sz w:val="28"/>
          <w:szCs w:val="28"/>
        </w:rPr>
      </w:pPr>
      <w:r>
        <w:rPr>
          <w:rFonts w:hint="eastAsia" w:hAnsi="宋体"/>
          <w:sz w:val="28"/>
          <w:szCs w:val="28"/>
        </w:rPr>
        <w:t>本</w:t>
      </w:r>
      <w:r>
        <w:rPr>
          <w:rFonts w:hAnsi="宋体"/>
          <w:sz w:val="28"/>
          <w:szCs w:val="28"/>
        </w:rPr>
        <w:t>项目环境影响</w:t>
      </w:r>
      <w:r>
        <w:rPr>
          <w:rFonts w:hint="eastAsia" w:hAnsi="宋体"/>
          <w:sz w:val="28"/>
          <w:szCs w:val="28"/>
        </w:rPr>
        <w:t>报告表及审批部门决定</w:t>
      </w:r>
      <w:r>
        <w:rPr>
          <w:rFonts w:hAnsi="宋体"/>
          <w:sz w:val="28"/>
          <w:szCs w:val="28"/>
        </w:rPr>
        <w:t>对其他环保设施无要求。</w:t>
      </w:r>
    </w:p>
    <w:p w14:paraId="03A77DF6">
      <w:pPr>
        <w:numPr>
          <w:ilvl w:val="0"/>
          <w:numId w:val="2"/>
        </w:numPr>
        <w:spacing w:line="520" w:lineRule="exact"/>
        <w:ind w:firstLine="562" w:firstLineChars="200"/>
        <w:contextualSpacing/>
        <w:outlineLvl w:val="0"/>
        <w:rPr>
          <w:b/>
          <w:sz w:val="28"/>
          <w:szCs w:val="28"/>
        </w:rPr>
      </w:pPr>
      <w:r>
        <w:rPr>
          <w:rFonts w:hAnsi="宋体"/>
          <w:b/>
          <w:sz w:val="28"/>
          <w:szCs w:val="28"/>
        </w:rPr>
        <w:t>环境保护设施调试效果</w:t>
      </w:r>
    </w:p>
    <w:p w14:paraId="1F48E5D6">
      <w:pPr>
        <w:snapToGrid w:val="0"/>
        <w:spacing w:line="520" w:lineRule="exact"/>
        <w:ind w:firstLine="560" w:firstLineChars="200"/>
        <w:contextualSpacing/>
        <w:rPr>
          <w:rFonts w:ascii="Times New Roman" w:hAnsi="宋体" w:eastAsia="宋体" w:cs="Times New Roman"/>
          <w:sz w:val="28"/>
          <w:szCs w:val="28"/>
        </w:rPr>
      </w:pPr>
      <w:r>
        <w:rPr>
          <w:rFonts w:hint="eastAsia"/>
          <w:sz w:val="28"/>
          <w:szCs w:val="28"/>
        </w:rPr>
        <w:t>20</w:t>
      </w:r>
      <w:r>
        <w:rPr>
          <w:rFonts w:hint="eastAsia" w:ascii="Times New Roman" w:hAnsi="宋体" w:eastAsia="宋体" w:cs="Times New Roman"/>
          <w:sz w:val="28"/>
          <w:szCs w:val="28"/>
        </w:rPr>
        <w:t>25年</w:t>
      </w:r>
      <w:r>
        <w:rPr>
          <w:rFonts w:hint="eastAsia" w:ascii="Times New Roman" w:hAnsi="宋体" w:eastAsia="宋体" w:cs="Times New Roman"/>
          <w:sz w:val="28"/>
          <w:szCs w:val="28"/>
          <w:lang w:val="en-US" w:eastAsia="zh-CN"/>
        </w:rPr>
        <w:t>11</w:t>
      </w:r>
      <w:r>
        <w:rPr>
          <w:rFonts w:hint="eastAsia" w:ascii="Times New Roman" w:hAnsi="宋体" w:eastAsia="宋体" w:cs="Times New Roman"/>
          <w:sz w:val="28"/>
          <w:szCs w:val="28"/>
        </w:rPr>
        <w:t>月，</w:t>
      </w:r>
      <w:r>
        <w:rPr>
          <w:rFonts w:hint="eastAsia" w:ascii="Times New Roman" w:hAnsi="宋体" w:eastAsia="宋体" w:cs="Times New Roman"/>
          <w:sz w:val="28"/>
          <w:szCs w:val="28"/>
          <w:lang w:val="en-US" w:eastAsia="zh-CN"/>
        </w:rPr>
        <w:t>公司</w:t>
      </w:r>
      <w:r>
        <w:rPr>
          <w:rFonts w:hint="eastAsia" w:ascii="Times New Roman" w:hAnsi="宋体" w:eastAsia="宋体" w:cs="Times New Roman"/>
          <w:sz w:val="28"/>
          <w:szCs w:val="28"/>
        </w:rPr>
        <w:t>对本项目进行现场勘察，查阅相关技术资料，在此基础上编制了本项目竣工环保验收监测方案；</w:t>
      </w:r>
      <w:r>
        <w:rPr>
          <w:rFonts w:ascii="Times New Roman" w:hAnsi="宋体" w:eastAsia="宋体" w:cs="Times New Roman"/>
          <w:sz w:val="28"/>
          <w:szCs w:val="28"/>
        </w:rPr>
        <w:t>依据监测方案</w:t>
      </w:r>
      <w:r>
        <w:rPr>
          <w:rFonts w:hint="eastAsia" w:ascii="Times New Roman" w:hAnsi="宋体" w:eastAsia="宋体" w:cs="Times New Roman"/>
          <w:sz w:val="28"/>
          <w:szCs w:val="28"/>
        </w:rPr>
        <w:t>，嘉兴中一检测研究院有限公司于</w:t>
      </w:r>
      <w:r>
        <w:rPr>
          <w:rFonts w:ascii="Times New Roman" w:hAnsi="宋体" w:eastAsia="宋体" w:cs="Times New Roman"/>
          <w:sz w:val="28"/>
          <w:szCs w:val="28"/>
        </w:rPr>
        <w:t>202</w:t>
      </w:r>
      <w:r>
        <w:rPr>
          <w:rFonts w:hint="eastAsia" w:ascii="Times New Roman" w:hAnsi="宋体" w:eastAsia="宋体" w:cs="Times New Roman"/>
          <w:sz w:val="28"/>
          <w:szCs w:val="28"/>
        </w:rPr>
        <w:t>5年</w:t>
      </w:r>
      <w:r>
        <w:rPr>
          <w:rFonts w:hint="eastAsia" w:ascii="Times New Roman" w:hAnsi="宋体" w:eastAsia="宋体" w:cs="Times New Roman"/>
          <w:sz w:val="28"/>
          <w:szCs w:val="28"/>
          <w:lang w:val="en-US" w:eastAsia="zh-CN"/>
        </w:rPr>
        <w:t>11</w:t>
      </w:r>
      <w:r>
        <w:rPr>
          <w:rFonts w:hint="eastAsia" w:ascii="Times New Roman" w:hAnsi="宋体" w:eastAsia="宋体" w:cs="Times New Roman"/>
          <w:sz w:val="28"/>
          <w:szCs w:val="28"/>
        </w:rPr>
        <w:t>月1</w:t>
      </w:r>
      <w:r>
        <w:rPr>
          <w:rFonts w:hint="eastAsia" w:ascii="Times New Roman" w:hAnsi="宋体" w:eastAsia="宋体" w:cs="Times New Roman"/>
          <w:sz w:val="28"/>
          <w:szCs w:val="28"/>
          <w:lang w:val="en-US" w:eastAsia="zh-CN"/>
        </w:rPr>
        <w:t>3</w:t>
      </w:r>
      <w:r>
        <w:rPr>
          <w:rFonts w:hint="eastAsia" w:ascii="Times New Roman" w:hAnsi="宋体" w:eastAsia="宋体" w:cs="Times New Roman"/>
          <w:sz w:val="28"/>
          <w:szCs w:val="28"/>
        </w:rPr>
        <w:t>、1</w:t>
      </w:r>
      <w:r>
        <w:rPr>
          <w:rFonts w:hint="eastAsia" w:ascii="Times New Roman" w:hAnsi="宋体" w:eastAsia="宋体" w:cs="Times New Roman"/>
          <w:sz w:val="28"/>
          <w:szCs w:val="28"/>
          <w:lang w:val="en-US" w:eastAsia="zh-CN"/>
        </w:rPr>
        <w:t>4</w:t>
      </w:r>
      <w:r>
        <w:rPr>
          <w:rFonts w:hint="eastAsia" w:ascii="Times New Roman" w:hAnsi="宋体" w:eastAsia="宋体" w:cs="Times New Roman"/>
          <w:sz w:val="28"/>
          <w:szCs w:val="28"/>
        </w:rPr>
        <w:t>日对企业开展了现场验收监测，</w:t>
      </w:r>
      <w:r>
        <w:rPr>
          <w:rFonts w:ascii="Times New Roman" w:hAnsi="宋体" w:eastAsia="宋体" w:cs="Times New Roman"/>
          <w:sz w:val="28"/>
          <w:szCs w:val="28"/>
        </w:rPr>
        <w:t>主要结论如下：</w:t>
      </w:r>
    </w:p>
    <w:p w14:paraId="47D570D8">
      <w:pPr>
        <w:snapToGrid w:val="0"/>
        <w:spacing w:line="520" w:lineRule="exact"/>
        <w:ind w:firstLine="560" w:firstLineChars="200"/>
        <w:contextualSpacing/>
        <w:rPr>
          <w:rFonts w:ascii="Times New Roman" w:hAnsi="宋体" w:eastAsia="宋体" w:cs="Times New Roman"/>
          <w:sz w:val="28"/>
          <w:szCs w:val="28"/>
        </w:rPr>
      </w:pPr>
      <w:r>
        <w:rPr>
          <w:rFonts w:hint="eastAsia" w:ascii="Times New Roman" w:hAnsi="宋体" w:eastAsia="宋体" w:cs="Times New Roman"/>
          <w:sz w:val="28"/>
          <w:szCs w:val="28"/>
        </w:rPr>
        <w:t>1、根据监测结果，公司废水总排口的水质中pH值、CODCr、BOD5、SS、</w:t>
      </w:r>
      <w:r>
        <w:rPr>
          <w:rFonts w:hint="eastAsia" w:ascii="Times New Roman" w:hAnsi="宋体" w:eastAsia="宋体" w:cs="Times New Roman"/>
          <w:sz w:val="28"/>
          <w:szCs w:val="28"/>
          <w:lang w:val="en-US" w:eastAsia="zh-CN"/>
        </w:rPr>
        <w:t>氨氮、</w:t>
      </w:r>
      <w:r>
        <w:rPr>
          <w:rFonts w:hint="eastAsia" w:ascii="Times New Roman" w:hAnsi="宋体" w:eastAsia="宋体" w:cs="Times New Roman"/>
          <w:sz w:val="28"/>
          <w:szCs w:val="28"/>
        </w:rPr>
        <w:t>动植物油</w:t>
      </w:r>
      <w:r>
        <w:rPr>
          <w:rFonts w:hint="eastAsia" w:ascii="Times New Roman" w:hAnsi="宋体" w:eastAsia="宋体" w:cs="Times New Roman"/>
          <w:sz w:val="28"/>
          <w:szCs w:val="28"/>
          <w:lang w:val="en-US" w:eastAsia="zh-CN"/>
        </w:rPr>
        <w:t>、阴离子表面活性剂、石油类</w:t>
      </w:r>
      <w:r>
        <w:rPr>
          <w:rFonts w:hint="eastAsia" w:ascii="Times New Roman" w:hAnsi="宋体" w:eastAsia="宋体" w:cs="Times New Roman"/>
          <w:sz w:val="28"/>
          <w:szCs w:val="28"/>
        </w:rPr>
        <w:t>的污染物浓度日均值均达到《污水综合排放标准》（GB8978-1996）表4中的三级标准，NH3-N浓度日均值达到《工业企业废水氮、磷污染物间接排放限值》（DB33/887-2013）表1中的其它企业水污染物间接排放限值相关要求。</w:t>
      </w:r>
    </w:p>
    <w:p w14:paraId="1B6C1921">
      <w:pPr>
        <w:snapToGrid w:val="0"/>
        <w:spacing w:line="520" w:lineRule="exact"/>
        <w:ind w:firstLine="560" w:firstLineChars="200"/>
        <w:contextualSpacing/>
        <w:rPr>
          <w:rFonts w:ascii="Times New Roman" w:hAnsi="Times New Roman" w:eastAsia="宋体" w:cs="Times New Roman"/>
          <w:color w:val="000000"/>
          <w:sz w:val="28"/>
          <w:szCs w:val="28"/>
        </w:rPr>
      </w:pPr>
      <w:r>
        <w:rPr>
          <w:rFonts w:hAnsi="宋体"/>
          <w:sz w:val="28"/>
          <w:szCs w:val="28"/>
        </w:rPr>
        <w:t>2</w:t>
      </w:r>
      <w:r>
        <w:rPr>
          <w:rFonts w:hint="eastAsia" w:ascii="Times New Roman" w:hAnsi="Times New Roman" w:eastAsia="宋体" w:cs="Times New Roman"/>
          <w:color w:val="000000"/>
          <w:sz w:val="28"/>
          <w:szCs w:val="28"/>
        </w:rPr>
        <w:t>、</w:t>
      </w:r>
      <w:bookmarkStart w:id="3" w:name="OLE_LINK19"/>
      <w:r>
        <w:rPr>
          <w:rFonts w:hint="eastAsia" w:ascii="Times New Roman" w:hAnsi="Times New Roman" w:eastAsia="宋体" w:cs="Times New Roman"/>
          <w:color w:val="000000"/>
          <w:sz w:val="28"/>
          <w:szCs w:val="28"/>
        </w:rPr>
        <w:t>根据监测结果，公司四侧厂界非甲烷总烃无组织排放满足《合成树脂工业污染物排放标准》（GB31572-2015）表9规定的相关浓度限值，臭气浓度无组织排放满足《恶臭污染物排放标准》（GB14554-93）表1中二级新扩改建标准值相关要求。厂区内无组织排放监控点处非甲烷总烃1小时平均浓度值低于《合成树脂工业污染物排放标准》（GB31572-2015，含2024年修改单）表9中边界大气污染浓度限值。</w:t>
      </w:r>
    </w:p>
    <w:bookmarkEnd w:id="3"/>
    <w:p w14:paraId="088D0FB1">
      <w:pPr>
        <w:snapToGrid w:val="0"/>
        <w:spacing w:line="520" w:lineRule="exact"/>
        <w:ind w:firstLine="560" w:firstLineChars="200"/>
        <w:contextualSpacing/>
        <w:rPr>
          <w:color w:val="000000"/>
          <w:sz w:val="28"/>
          <w:szCs w:val="28"/>
        </w:rPr>
      </w:pPr>
      <w:r>
        <w:rPr>
          <w:rFonts w:hAnsi="宋体"/>
          <w:color w:val="000000"/>
          <w:sz w:val="28"/>
          <w:szCs w:val="28"/>
        </w:rPr>
        <w:t>3</w:t>
      </w:r>
      <w:r>
        <w:rPr>
          <w:rFonts w:hint="eastAsia" w:hAnsi="宋体"/>
          <w:color w:val="000000"/>
          <w:sz w:val="28"/>
          <w:szCs w:val="28"/>
        </w:rPr>
        <w:t>、</w:t>
      </w:r>
      <w:r>
        <w:rPr>
          <w:color w:val="000000"/>
          <w:sz w:val="28"/>
          <w:szCs w:val="28"/>
        </w:rPr>
        <w:t>验收监测期间，项目</w:t>
      </w:r>
      <w:r>
        <w:rPr>
          <w:rFonts w:hint="eastAsia"/>
          <w:color w:val="000000"/>
          <w:sz w:val="28"/>
          <w:szCs w:val="28"/>
        </w:rPr>
        <w:t>各</w:t>
      </w:r>
      <w:r>
        <w:rPr>
          <w:color w:val="000000"/>
          <w:sz w:val="28"/>
          <w:szCs w:val="28"/>
        </w:rPr>
        <w:t>厂界昼间厂界噪声</w:t>
      </w:r>
      <w:r>
        <w:rPr>
          <w:rFonts w:hint="eastAsia"/>
          <w:color w:val="000000"/>
          <w:sz w:val="28"/>
          <w:szCs w:val="28"/>
        </w:rPr>
        <w:t>级</w:t>
      </w:r>
      <w:r>
        <w:rPr>
          <w:color w:val="000000"/>
          <w:sz w:val="28"/>
          <w:szCs w:val="28"/>
        </w:rPr>
        <w:t>低于《工业企业厂界环境噪声排放标准》（GB</w:t>
      </w:r>
      <w:r>
        <w:rPr>
          <w:rFonts w:hint="eastAsia"/>
          <w:color w:val="000000"/>
          <w:sz w:val="28"/>
          <w:szCs w:val="28"/>
        </w:rPr>
        <w:t xml:space="preserve"> </w:t>
      </w:r>
      <w:r>
        <w:rPr>
          <w:color w:val="000000"/>
          <w:sz w:val="28"/>
          <w:szCs w:val="28"/>
        </w:rPr>
        <w:t>12348-2008）</w:t>
      </w:r>
      <w:r>
        <w:rPr>
          <w:rFonts w:hint="eastAsia"/>
          <w:color w:val="000000"/>
          <w:sz w:val="28"/>
          <w:szCs w:val="28"/>
        </w:rPr>
        <w:t>3</w:t>
      </w:r>
      <w:r>
        <w:rPr>
          <w:color w:val="000000"/>
          <w:sz w:val="28"/>
          <w:szCs w:val="28"/>
        </w:rPr>
        <w:t>类标准</w:t>
      </w:r>
      <w:r>
        <w:rPr>
          <w:rFonts w:hint="eastAsia"/>
          <w:color w:val="000000"/>
          <w:sz w:val="28"/>
          <w:szCs w:val="28"/>
        </w:rPr>
        <w:t>。</w:t>
      </w:r>
    </w:p>
    <w:p w14:paraId="6F2C0DC8">
      <w:pPr>
        <w:snapToGrid w:val="0"/>
        <w:spacing w:line="520" w:lineRule="exact"/>
        <w:ind w:firstLine="560" w:firstLineChars="200"/>
        <w:contextualSpacing/>
        <w:rPr>
          <w:rFonts w:hint="eastAsia"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4、</w:t>
      </w:r>
      <w:r>
        <w:rPr>
          <w:rFonts w:hint="eastAsia" w:ascii="Times New Roman" w:hAnsi="Times New Roman" w:eastAsia="宋体" w:cs="Times New Roman"/>
          <w:color w:val="000000"/>
          <w:sz w:val="28"/>
          <w:szCs w:val="28"/>
          <w:lang w:val="en-US" w:eastAsia="zh-CN"/>
        </w:rPr>
        <w:t>项目产生的</w:t>
      </w:r>
      <w:r>
        <w:rPr>
          <w:rFonts w:hint="eastAsia" w:ascii="Times New Roman" w:hAnsi="Times New Roman" w:eastAsia="宋体" w:cs="Times New Roman"/>
          <w:color w:val="000000"/>
          <w:sz w:val="28"/>
          <w:szCs w:val="28"/>
        </w:rPr>
        <w:t>一般固废贮存和处置</w:t>
      </w:r>
      <w:r>
        <w:rPr>
          <w:rFonts w:hint="eastAsia" w:ascii="Times New Roman" w:hAnsi="Times New Roman" w:eastAsia="宋体" w:cs="Times New Roman"/>
          <w:color w:val="000000"/>
          <w:sz w:val="28"/>
          <w:szCs w:val="28"/>
          <w:lang w:val="en-US" w:eastAsia="zh-CN"/>
        </w:rPr>
        <w:t>满足</w:t>
      </w:r>
      <w:r>
        <w:rPr>
          <w:rFonts w:hint="eastAsia" w:ascii="Times New Roman" w:hAnsi="Times New Roman" w:eastAsia="宋体" w:cs="Times New Roman"/>
          <w:color w:val="000000"/>
          <w:sz w:val="28"/>
          <w:szCs w:val="28"/>
        </w:rPr>
        <w:t>《一般工业固体废物贮存和填埋污染控制标准》（GB18599-2020），危险废物的贮存和处置还满足《危险废物贮存污染控制标准》（GB18597-2023）及《危险废物识别标志设置技术规范》（HJ1276-2022）等相关文件要求。</w:t>
      </w:r>
    </w:p>
    <w:p w14:paraId="18E71B97">
      <w:pPr>
        <w:spacing w:line="520" w:lineRule="exact"/>
        <w:ind w:firstLine="560" w:firstLineChars="200"/>
        <w:contextualSpacing/>
        <w:outlineLvl w:val="1"/>
        <w:rPr>
          <w:rFonts w:hint="eastAsia"/>
          <w:color w:val="000000"/>
          <w:sz w:val="28"/>
          <w:szCs w:val="28"/>
        </w:rPr>
      </w:pPr>
      <w:r>
        <w:rPr>
          <w:rFonts w:hint="eastAsia"/>
          <w:color w:val="000000"/>
          <w:sz w:val="28"/>
          <w:szCs w:val="28"/>
          <w:lang w:val="en-US" w:eastAsia="zh-CN"/>
        </w:rPr>
        <w:t>5</w:t>
      </w:r>
      <w:r>
        <w:rPr>
          <w:rFonts w:hint="eastAsia"/>
          <w:color w:val="000000"/>
          <w:sz w:val="28"/>
          <w:szCs w:val="28"/>
        </w:rPr>
        <w:t>、本项目</w:t>
      </w:r>
      <w:r>
        <w:rPr>
          <w:color w:val="000000"/>
          <w:sz w:val="28"/>
          <w:szCs w:val="28"/>
        </w:rPr>
        <w:t>总量控制指标主要为</w:t>
      </w:r>
      <w:r>
        <w:rPr>
          <w:rFonts w:hint="eastAsia"/>
          <w:color w:val="000000"/>
          <w:sz w:val="28"/>
          <w:szCs w:val="28"/>
        </w:rPr>
        <w:t>化学需氧量</w:t>
      </w:r>
      <w:r>
        <w:rPr>
          <w:color w:val="000000"/>
          <w:sz w:val="28"/>
          <w:szCs w:val="28"/>
        </w:rPr>
        <w:t>、</w:t>
      </w:r>
      <w:r>
        <w:rPr>
          <w:rFonts w:hint="eastAsia"/>
          <w:color w:val="000000"/>
          <w:sz w:val="28"/>
          <w:szCs w:val="28"/>
        </w:rPr>
        <w:t>氨氮和挥发性有机物。经核算，本项目实施后各污染物排放量均</w:t>
      </w:r>
      <w:r>
        <w:rPr>
          <w:color w:val="000000"/>
          <w:sz w:val="28"/>
          <w:szCs w:val="28"/>
        </w:rPr>
        <w:t>低于</w:t>
      </w:r>
      <w:r>
        <w:rPr>
          <w:rFonts w:hint="eastAsia"/>
          <w:color w:val="000000"/>
          <w:sz w:val="28"/>
          <w:szCs w:val="28"/>
        </w:rPr>
        <w:t>项目</w:t>
      </w:r>
      <w:r>
        <w:rPr>
          <w:color w:val="000000"/>
          <w:sz w:val="28"/>
          <w:szCs w:val="28"/>
        </w:rPr>
        <w:t>总量控制指标</w:t>
      </w:r>
      <w:r>
        <w:rPr>
          <w:rFonts w:hint="eastAsia"/>
          <w:color w:val="000000"/>
          <w:sz w:val="28"/>
          <w:szCs w:val="28"/>
        </w:rPr>
        <w:t>，</w:t>
      </w:r>
      <w:r>
        <w:rPr>
          <w:color w:val="000000"/>
          <w:sz w:val="28"/>
          <w:szCs w:val="28"/>
        </w:rPr>
        <w:t>符合总量控制要求。</w:t>
      </w:r>
    </w:p>
    <w:p w14:paraId="5D870C71">
      <w:pPr>
        <w:spacing w:line="520" w:lineRule="exact"/>
        <w:ind w:firstLine="562" w:firstLineChars="200"/>
        <w:contextualSpacing/>
        <w:outlineLvl w:val="1"/>
        <w:rPr>
          <w:b/>
          <w:sz w:val="28"/>
          <w:szCs w:val="28"/>
        </w:rPr>
      </w:pPr>
      <w:r>
        <w:rPr>
          <w:b/>
          <w:sz w:val="28"/>
          <w:szCs w:val="28"/>
        </w:rPr>
        <w:t>五、工程建设对环境的影响</w:t>
      </w:r>
    </w:p>
    <w:p w14:paraId="28DA015F">
      <w:pPr>
        <w:spacing w:line="520" w:lineRule="exact"/>
        <w:ind w:firstLine="560" w:firstLineChars="200"/>
        <w:contextualSpacing/>
        <w:rPr>
          <w:rFonts w:hint="eastAsia"/>
          <w:sz w:val="28"/>
          <w:szCs w:val="28"/>
        </w:rPr>
      </w:pPr>
      <w:r>
        <w:rPr>
          <w:sz w:val="28"/>
          <w:szCs w:val="28"/>
        </w:rPr>
        <w:t>根据生产期间的调试运行情况，本项目环保治理设施均能正常运行，项目竣工验收监测数据能达到相关排放标准</w:t>
      </w:r>
      <w:r>
        <w:rPr>
          <w:rFonts w:hAnsi="宋体"/>
          <w:sz w:val="28"/>
          <w:szCs w:val="28"/>
        </w:rPr>
        <w:t>。</w:t>
      </w:r>
      <w:r>
        <w:rPr>
          <w:sz w:val="28"/>
          <w:szCs w:val="28"/>
        </w:rPr>
        <w:t>项目环境污染治理措施及排放基本落实了环评及批复要求，对周边环境不会造成明显的影响。</w:t>
      </w:r>
    </w:p>
    <w:p w14:paraId="6D15353A">
      <w:pPr>
        <w:pStyle w:val="9"/>
        <w:spacing w:before="0" w:beforeAutospacing="0" w:after="0" w:afterAutospacing="0" w:line="520" w:lineRule="exact"/>
        <w:ind w:firstLine="562" w:firstLineChars="200"/>
        <w:contextualSpacing/>
        <w:outlineLvl w:val="0"/>
        <w:rPr>
          <w:rFonts w:ascii="Times New Roman" w:hAnsi="Times New Roman" w:cs="Times New Roman"/>
          <w:b/>
          <w:sz w:val="28"/>
          <w:szCs w:val="28"/>
        </w:rPr>
      </w:pPr>
      <w:r>
        <w:rPr>
          <w:rFonts w:ascii="Times New Roman" w:hAnsi="Times New Roman" w:cs="Times New Roman"/>
          <w:b/>
          <w:sz w:val="28"/>
          <w:szCs w:val="28"/>
        </w:rPr>
        <w:t>六、验收结论</w:t>
      </w:r>
    </w:p>
    <w:p w14:paraId="58DA5C63">
      <w:pPr>
        <w:tabs>
          <w:tab w:val="left" w:pos="180"/>
        </w:tabs>
        <w:spacing w:line="520" w:lineRule="exact"/>
        <w:ind w:firstLine="560" w:firstLineChars="200"/>
        <w:contextualSpacing/>
        <w:jc w:val="left"/>
        <w:rPr>
          <w:rFonts w:hint="eastAsia"/>
          <w:sz w:val="28"/>
          <w:szCs w:val="28"/>
        </w:rPr>
      </w:pPr>
      <w:r>
        <w:rPr>
          <w:sz w:val="28"/>
          <w:szCs w:val="28"/>
        </w:rPr>
        <w:t>经检查，该项目环保手续基本齐全，基本落实了环评报告和批复的有关要求，在设计、施工和运行阶段均采取了相应措施，主要污染物排放指标能达到相应标准的要求。本验收监测报告结论可信，验收组认为该项目已具备竣工环境保护验收条件，</w:t>
      </w:r>
      <w:r>
        <w:rPr>
          <w:rFonts w:hint="eastAsia"/>
          <w:sz w:val="28"/>
          <w:szCs w:val="28"/>
        </w:rPr>
        <w:t>同意通过竣工环境保护验收，</w:t>
      </w:r>
      <w:r>
        <w:rPr>
          <w:sz w:val="28"/>
          <w:szCs w:val="28"/>
        </w:rPr>
        <w:t>可</w:t>
      </w:r>
      <w:r>
        <w:rPr>
          <w:rFonts w:hint="eastAsia"/>
          <w:sz w:val="28"/>
          <w:szCs w:val="28"/>
          <w:lang w:val="en-US" w:eastAsia="zh-CN"/>
        </w:rPr>
        <w:t>登录</w:t>
      </w:r>
      <w:r>
        <w:rPr>
          <w:sz w:val="28"/>
          <w:szCs w:val="28"/>
        </w:rPr>
        <w:t>竣工环境保护验收信息平台填报相关信息。</w:t>
      </w:r>
    </w:p>
    <w:p w14:paraId="3CAE5CFA">
      <w:pPr>
        <w:spacing w:line="520" w:lineRule="exact"/>
        <w:ind w:firstLine="551" w:firstLineChars="196"/>
        <w:contextualSpacing/>
        <w:outlineLvl w:val="0"/>
        <w:rPr>
          <w:rFonts w:hint="eastAsia"/>
          <w:b/>
          <w:sz w:val="28"/>
          <w:szCs w:val="28"/>
        </w:rPr>
      </w:pPr>
      <w:r>
        <w:rPr>
          <w:b/>
          <w:sz w:val="28"/>
          <w:szCs w:val="28"/>
        </w:rPr>
        <w:t>七、后续要求和建议</w:t>
      </w:r>
    </w:p>
    <w:p w14:paraId="2DEE717C">
      <w:pPr>
        <w:spacing w:line="520" w:lineRule="exact"/>
        <w:ind w:firstLine="560"/>
        <w:contextualSpacing/>
        <w:jc w:val="left"/>
        <w:rPr>
          <w:color w:val="000000"/>
          <w:sz w:val="28"/>
          <w:szCs w:val="28"/>
        </w:rPr>
      </w:pPr>
      <w:r>
        <w:rPr>
          <w:rFonts w:hint="eastAsia"/>
          <w:color w:val="000000"/>
          <w:sz w:val="28"/>
          <w:szCs w:val="28"/>
          <w:lang w:val="en-US" w:eastAsia="zh-CN"/>
        </w:rPr>
        <w:t>1</w:t>
      </w:r>
      <w:r>
        <w:rPr>
          <w:color w:val="000000"/>
          <w:sz w:val="28"/>
          <w:szCs w:val="28"/>
        </w:rPr>
        <w:t>、规范完善危废仓库防渗和截流设施，完善危废标志、标签和周知卡等标志标识，规范落实危废台账管理制度；完善附图附件。</w:t>
      </w:r>
    </w:p>
    <w:p w14:paraId="104D46B4">
      <w:pPr>
        <w:spacing w:line="520" w:lineRule="exact"/>
        <w:ind w:firstLine="560"/>
        <w:contextualSpacing/>
        <w:jc w:val="left"/>
        <w:rPr>
          <w:color w:val="000000"/>
          <w:sz w:val="28"/>
          <w:szCs w:val="28"/>
        </w:rPr>
      </w:pPr>
      <w:r>
        <w:rPr>
          <w:rFonts w:hint="eastAsia"/>
          <w:color w:val="000000"/>
          <w:sz w:val="28"/>
          <w:szCs w:val="28"/>
          <w:lang w:val="en-US" w:eastAsia="zh-CN"/>
        </w:rPr>
        <w:t>2</w:t>
      </w:r>
      <w:r>
        <w:rPr>
          <w:color w:val="000000"/>
          <w:sz w:val="28"/>
          <w:szCs w:val="28"/>
        </w:rPr>
        <w:t>、若企业后期生产过程中发生原辅材料消耗、产品方案、工艺、设备等重大变化，或项目生产平面布局有重大调整，应及时向有关部门报批。</w:t>
      </w:r>
    </w:p>
    <w:p w14:paraId="6ABF49DB">
      <w:pPr>
        <w:spacing w:line="520" w:lineRule="exact"/>
        <w:ind w:firstLine="560"/>
        <w:contextualSpacing/>
        <w:jc w:val="left"/>
        <w:rPr>
          <w:b/>
          <w:sz w:val="28"/>
          <w:szCs w:val="28"/>
        </w:rPr>
      </w:pPr>
      <w:r>
        <w:rPr>
          <w:rFonts w:hAnsi="宋体"/>
          <w:b/>
          <w:sz w:val="28"/>
          <w:szCs w:val="28"/>
        </w:rPr>
        <w:t>八、验收人员信息</w:t>
      </w:r>
    </w:p>
    <w:p w14:paraId="356103B8">
      <w:pPr>
        <w:tabs>
          <w:tab w:val="left" w:pos="180"/>
        </w:tabs>
        <w:spacing w:line="520" w:lineRule="exact"/>
        <w:ind w:firstLine="560" w:firstLineChars="200"/>
        <w:contextualSpacing/>
        <w:jc w:val="left"/>
        <w:rPr>
          <w:rFonts w:hint="eastAsia"/>
          <w:sz w:val="28"/>
          <w:szCs w:val="28"/>
        </w:rPr>
      </w:pPr>
      <w:r>
        <w:rPr>
          <w:rFonts w:hAnsi="宋体"/>
          <w:sz w:val="28"/>
          <w:szCs w:val="28"/>
        </w:rPr>
        <w:t>详见会议签到表。</w:t>
      </w:r>
    </w:p>
    <w:p w14:paraId="2B31E12C">
      <w:pPr>
        <w:tabs>
          <w:tab w:val="left" w:pos="180"/>
        </w:tabs>
        <w:spacing w:line="520" w:lineRule="exact"/>
        <w:ind w:firstLine="560" w:firstLineChars="200"/>
        <w:contextualSpacing/>
        <w:jc w:val="left"/>
        <w:rPr>
          <w:sz w:val="28"/>
          <w:szCs w:val="28"/>
        </w:rPr>
      </w:pPr>
      <w:r>
        <w:rPr>
          <w:rFonts w:hint="eastAsia" w:eastAsia="宋体"/>
          <w:sz w:val="28"/>
          <w:szCs w:val="28"/>
          <w:lang w:eastAsia="zh-CN"/>
        </w:rPr>
        <w:drawing>
          <wp:anchor distT="0" distB="0" distL="114300" distR="114300" simplePos="0" relativeHeight="251659264" behindDoc="0" locked="0" layoutInCell="1" allowOverlap="1">
            <wp:simplePos x="0" y="0"/>
            <wp:positionH relativeFrom="column">
              <wp:posOffset>2054225</wp:posOffset>
            </wp:positionH>
            <wp:positionV relativeFrom="paragraph">
              <wp:posOffset>73660</wp:posOffset>
            </wp:positionV>
            <wp:extent cx="4114800" cy="1390650"/>
            <wp:effectExtent l="0" t="0" r="0" b="0"/>
            <wp:wrapSquare wrapText="bothSides"/>
            <wp:docPr id="1" name="图片 1" descr="fb0c1014-5539-4d9e-8c41-7e77906d5f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b0c1014-5539-4d9e-8c41-7e77906d5f5a"/>
                    <pic:cNvPicPr>
                      <a:picLocks noChangeAspect="1"/>
                    </pic:cNvPicPr>
                  </pic:nvPicPr>
                  <pic:blipFill>
                    <a:blip r:embed="rId6"/>
                    <a:stretch>
                      <a:fillRect/>
                    </a:stretch>
                  </pic:blipFill>
                  <pic:spPr>
                    <a:xfrm>
                      <a:off x="0" y="0"/>
                      <a:ext cx="4114800" cy="1390650"/>
                    </a:xfrm>
                    <a:prstGeom prst="rect">
                      <a:avLst/>
                    </a:prstGeom>
                  </pic:spPr>
                </pic:pic>
              </a:graphicData>
            </a:graphic>
          </wp:anchor>
        </w:drawing>
      </w:r>
    </w:p>
    <w:p w14:paraId="1DF98615">
      <w:pPr>
        <w:tabs>
          <w:tab w:val="left" w:pos="180"/>
        </w:tabs>
        <w:spacing w:line="520" w:lineRule="exact"/>
        <w:ind w:firstLine="560" w:firstLineChars="200"/>
        <w:contextualSpacing/>
        <w:jc w:val="left"/>
        <w:rPr>
          <w:rFonts w:hint="eastAsia"/>
          <w:sz w:val="28"/>
          <w:szCs w:val="28"/>
        </w:rPr>
      </w:pPr>
    </w:p>
    <w:p w14:paraId="37F32832">
      <w:pPr>
        <w:spacing w:line="520" w:lineRule="exact"/>
        <w:ind w:firstLine="560" w:firstLineChars="200"/>
        <w:contextualSpacing/>
        <w:rPr>
          <w:rFonts w:hint="eastAsia" w:eastAsia="仿宋"/>
          <w:color w:val="FF0000"/>
          <w:sz w:val="28"/>
          <w:szCs w:val="28"/>
        </w:rPr>
      </w:pPr>
    </w:p>
    <w:p w14:paraId="1244376F">
      <w:pPr>
        <w:tabs>
          <w:tab w:val="left" w:pos="180"/>
        </w:tabs>
        <w:spacing w:line="520" w:lineRule="exact"/>
        <w:ind w:firstLine="1120" w:firstLineChars="400"/>
        <w:contextualSpacing/>
        <w:jc w:val="left"/>
        <w:rPr>
          <w:rFonts w:hint="eastAsia" w:eastAsia="宋体"/>
          <w:sz w:val="28"/>
          <w:szCs w:val="28"/>
          <w:lang w:eastAsia="zh-CN"/>
        </w:rPr>
      </w:pPr>
      <w:r>
        <w:rPr>
          <w:rFonts w:hAnsi="宋体"/>
          <w:sz w:val="28"/>
          <w:szCs w:val="28"/>
        </w:rPr>
        <w:t>验收专家组：</w:t>
      </w:r>
    </w:p>
    <w:p w14:paraId="7BBA5392">
      <w:pPr>
        <w:spacing w:line="520" w:lineRule="exact"/>
        <w:ind w:firstLine="560" w:firstLineChars="200"/>
        <w:contextualSpacing/>
        <w:jc w:val="right"/>
        <w:rPr>
          <w:rFonts w:hint="eastAsia"/>
          <w:sz w:val="28"/>
          <w:szCs w:val="28"/>
        </w:rPr>
      </w:pPr>
    </w:p>
    <w:p w14:paraId="4765AB06">
      <w:pPr>
        <w:spacing w:line="520" w:lineRule="exact"/>
        <w:ind w:firstLine="560" w:firstLineChars="200"/>
        <w:contextualSpacing/>
        <w:jc w:val="right"/>
        <w:rPr>
          <w:rFonts w:hint="eastAsia"/>
          <w:sz w:val="28"/>
          <w:szCs w:val="28"/>
        </w:rPr>
      </w:pPr>
      <w:r>
        <w:rPr>
          <w:rFonts w:hint="eastAsia"/>
          <w:sz w:val="28"/>
          <w:szCs w:val="28"/>
        </w:rPr>
        <w:t>2025</w:t>
      </w:r>
      <w:r>
        <w:rPr>
          <w:sz w:val="28"/>
          <w:szCs w:val="28"/>
        </w:rPr>
        <w:t>年</w:t>
      </w:r>
      <w:r>
        <w:rPr>
          <w:rFonts w:hint="eastAsia"/>
          <w:sz w:val="28"/>
          <w:szCs w:val="28"/>
        </w:rPr>
        <w:t>1</w:t>
      </w:r>
      <w:r>
        <w:rPr>
          <w:rFonts w:hint="eastAsia"/>
          <w:sz w:val="28"/>
          <w:szCs w:val="28"/>
          <w:lang w:val="en-US" w:eastAsia="zh-CN"/>
        </w:rPr>
        <w:t>2</w:t>
      </w:r>
      <w:r>
        <w:rPr>
          <w:sz w:val="28"/>
          <w:szCs w:val="28"/>
        </w:rPr>
        <w:t>月</w:t>
      </w:r>
      <w:r>
        <w:rPr>
          <w:rFonts w:hint="eastAsia"/>
          <w:sz w:val="28"/>
          <w:szCs w:val="28"/>
          <w:lang w:val="en-US" w:eastAsia="zh-CN"/>
        </w:rPr>
        <w:t>22</w:t>
      </w:r>
      <w:r>
        <w:rPr>
          <w:sz w:val="28"/>
          <w:szCs w:val="28"/>
        </w:rPr>
        <w:t>日</w:t>
      </w:r>
    </w:p>
    <w:p w14:paraId="7DC24B38">
      <w:pPr>
        <w:spacing w:line="520" w:lineRule="exact"/>
        <w:contextualSpacing/>
        <w:rPr>
          <w:sz w:val="28"/>
          <w:szCs w:val="28"/>
        </w:rPr>
      </w:pPr>
    </w:p>
    <w:p w14:paraId="58280232">
      <w:bookmarkStart w:id="4" w:name="_GoBack"/>
      <w:bookmarkEnd w:id="4"/>
    </w:p>
    <w:sectPr>
      <w:headerReference r:id="rId3" w:type="default"/>
      <w:footerReference r:id="rId4" w:type="default"/>
      <w:pgSz w:w="11906" w:h="16838"/>
      <w:pgMar w:top="1418" w:right="1304" w:bottom="1418"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E82CF">
    <w:pPr>
      <w:pStyle w:val="4"/>
      <w:jc w:val="center"/>
    </w:pPr>
    <w:r>
      <w:rPr>
        <w:rFonts w:hint="eastAsia"/>
        <w:lang w:val="zh-CN"/>
      </w:rPr>
      <w:t>-</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b/>
        <w:bCs/>
        <w:sz w:val="24"/>
        <w:szCs w:val="24"/>
      </w:rPr>
      <w:t>-</w:t>
    </w:r>
  </w:p>
  <w:p w14:paraId="718A0253">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F5DC6">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BF8C5"/>
    <w:multiLevelType w:val="singleLevel"/>
    <w:tmpl w:val="BC9BF8C5"/>
    <w:lvl w:ilvl="0" w:tentative="0">
      <w:start w:val="4"/>
      <w:numFmt w:val="chineseCounting"/>
      <w:suff w:val="nothing"/>
      <w:lvlText w:val="%1、"/>
      <w:lvlJc w:val="left"/>
      <w:rPr>
        <w:rFonts w:hint="eastAsia"/>
      </w:rPr>
    </w:lvl>
  </w:abstractNum>
  <w:abstractNum w:abstractNumId="1">
    <w:nsid w:val="6B351FC9"/>
    <w:multiLevelType w:val="singleLevel"/>
    <w:tmpl w:val="6B351FC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605C3A"/>
    <w:rsid w:val="0D605C3A"/>
    <w:rsid w:val="1D066654"/>
    <w:rsid w:val="370C2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21"/>
    </w:rPr>
  </w:style>
  <w:style w:type="paragraph" w:styleId="3">
    <w:name w:val="Body Text Indent"/>
    <w:basedOn w:val="1"/>
    <w:next w:val="2"/>
    <w:qFormat/>
    <w:uiPriority w:val="99"/>
    <w:pPr>
      <w:spacing w:after="120"/>
      <w:ind w:left="420" w:leftChars="2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next w:val="1"/>
    <w:qFormat/>
    <w:uiPriority w:val="0"/>
  </w:style>
  <w:style w:type="paragraph" w:customStyle="1" w:styleId="9">
    <w:name w:val="Normal (Web)"/>
    <w:basedOn w:val="1"/>
    <w:qFormat/>
    <w:uiPriority w:val="0"/>
    <w:pPr>
      <w:adjustRightInd/>
      <w:snapToGrid/>
      <w:spacing w:before="100" w:beforeLines="0" w:beforeAutospacing="1" w:after="100" w:afterLines="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2442</Words>
  <Characters>2655</Characters>
  <Lines>0</Lines>
  <Paragraphs>0</Paragraphs>
  <TotalTime>2</TotalTime>
  <ScaleCrop>false</ScaleCrop>
  <LinksUpToDate>false</LinksUpToDate>
  <CharactersWithSpaces>2657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2025-12-21T07:43:00Z</dcterms:created>
  <dc:creator>摆渡者</dc:creator>
  <cp:lastModifiedBy>二三</cp:lastModifiedBy>
  <dcterms:modified xsi:type="dcterms:W3CDTF">2025-12-29T06:05:45Z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791410DC995943B8B73646E5C9A0ABAE_13</vt:lpwstr>
  </property>
  <property fmtid="{D5CDD505-2E9C-101B-9397-08002B2CF9AE}" pid="4" name="KSOTemplateDocerSaveRecord">
    <vt:lpwstr>eyJoZGlkIjoiMzcwY2JjN2IyZDJmNDc2ZTEwMTFjMWJlODI5ZTY5NDYiLCJ1c2VySWQiOiIyMTEyMTM5OTUifQ==</vt:lpwstr>
  </property>
</Properties>
</file>